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90F" w:rsidRDefault="0047390F" w:rsidP="0047390F">
      <w:pPr>
        <w:pStyle w:val="NoSpacing"/>
        <w:jc w:val="both"/>
        <w:rPr>
          <w:rFonts w:eastAsia="Times New Roman" w:cs="Arial"/>
          <w:b/>
          <w:bCs/>
          <w:szCs w:val="24"/>
        </w:rPr>
      </w:pPr>
    </w:p>
    <w:p w:rsidR="0047390F" w:rsidRDefault="00EE7244" w:rsidP="0047390F">
      <w:pPr>
        <w:pStyle w:val="NoSpacing"/>
        <w:jc w:val="both"/>
        <w:rPr>
          <w:rFonts w:eastAsia="Times New Roman" w:cs="Arial"/>
          <w:b/>
          <w:bCs/>
          <w:szCs w:val="24"/>
        </w:rPr>
      </w:pPr>
      <w:r>
        <w:rPr>
          <w:rFonts w:eastAsia="Times New Roman" w:cs="Arial"/>
          <w:b/>
          <w:bCs/>
          <w:szCs w:val="24"/>
        </w:rPr>
        <w:t>CITY DEAL EXECUTIVE AND STEWARDSHIP BOARD</w:t>
      </w:r>
    </w:p>
    <w:p w:rsidR="0047390F" w:rsidRPr="00D3134F" w:rsidRDefault="0047390F" w:rsidP="0047390F">
      <w:pPr>
        <w:spacing w:after="0" w:line="240" w:lineRule="auto"/>
        <w:rPr>
          <w:rFonts w:ascii="Arial" w:hAnsi="Arial" w:cs="Arial"/>
          <w:b/>
          <w:bCs/>
          <w:sz w:val="24"/>
          <w:szCs w:val="24"/>
        </w:rPr>
      </w:pPr>
    </w:p>
    <w:p w:rsidR="0047390F" w:rsidRPr="00D3134F" w:rsidRDefault="00EE7244" w:rsidP="0047390F">
      <w:pPr>
        <w:spacing w:after="0" w:line="240" w:lineRule="auto"/>
        <w:rPr>
          <w:rFonts w:ascii="Arial" w:hAnsi="Arial" w:cs="Arial"/>
          <w:b/>
          <w:bCs/>
          <w:sz w:val="24"/>
          <w:szCs w:val="24"/>
        </w:rPr>
      </w:pPr>
      <w:r w:rsidRPr="00D3134F">
        <w:rPr>
          <w:rFonts w:ascii="Arial" w:hAnsi="Arial" w:cs="Arial"/>
          <w:b/>
          <w:sz w:val="24"/>
          <w:szCs w:val="24"/>
        </w:rPr>
        <w:t xml:space="preserve">Private and Confidential: </w:t>
      </w:r>
      <w:r>
        <w:rPr>
          <w:rFonts w:ascii="Arial" w:hAnsi="Arial" w:cs="Arial"/>
          <w:b/>
          <w:sz w:val="24"/>
          <w:szCs w:val="24"/>
        </w:rPr>
        <w:t>No</w:t>
      </w:r>
    </w:p>
    <w:p w:rsidR="0047390F" w:rsidRPr="00D3134F" w:rsidRDefault="0047390F" w:rsidP="0047390F">
      <w:pPr>
        <w:spacing w:after="0" w:line="240" w:lineRule="auto"/>
        <w:rPr>
          <w:rFonts w:ascii="Arial" w:hAnsi="Arial" w:cs="Arial"/>
          <w:sz w:val="24"/>
          <w:szCs w:val="24"/>
        </w:rPr>
      </w:pPr>
    </w:p>
    <w:p w:rsidR="0047390F" w:rsidRPr="00D3134F" w:rsidRDefault="00EE7244" w:rsidP="0047390F">
      <w:pPr>
        <w:spacing w:after="0" w:line="240" w:lineRule="auto"/>
        <w:rPr>
          <w:rFonts w:ascii="Arial" w:hAnsi="Arial" w:cs="Arial"/>
          <w:sz w:val="24"/>
          <w:szCs w:val="24"/>
        </w:rPr>
      </w:pPr>
      <w:r w:rsidRPr="00EB4643">
        <w:rPr>
          <w:rFonts w:ascii="Arial" w:hAnsi="Arial" w:cs="Arial"/>
          <w:b/>
          <w:sz w:val="24"/>
          <w:szCs w:val="24"/>
        </w:rPr>
        <w:t>Date:</w:t>
      </w:r>
      <w:r>
        <w:rPr>
          <w:rFonts w:ascii="Arial" w:hAnsi="Arial" w:cs="Arial"/>
          <w:sz w:val="24"/>
          <w:szCs w:val="24"/>
        </w:rPr>
        <w:t xml:space="preserve"> </w:t>
      </w:r>
      <w:r>
        <w:rPr>
          <w:rFonts w:ascii="Arial" w:hAnsi="Arial" w:cs="Arial"/>
          <w:sz w:val="24"/>
          <w:szCs w:val="24"/>
        </w:rPr>
        <w:fldChar w:fldCharType="begin"/>
      </w:r>
      <w:r>
        <w:rPr>
          <w:rFonts w:ascii="Arial" w:hAnsi="Arial" w:cs="Arial"/>
          <w:sz w:val="24"/>
          <w:szCs w:val="24"/>
        </w:rPr>
        <w:instrText xml:space="preserve"> DOCPROPERTY  MeetingDate  \* MERGEFORMAT </w:instrText>
      </w:r>
      <w:r>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Tuesday, 5</w:t>
      </w:r>
      <w:r w:rsidRPr="0047390F">
        <w:rPr>
          <w:rFonts w:ascii="Arial" w:hAnsi="Arial" w:cs="Arial"/>
          <w:sz w:val="24"/>
          <w:szCs w:val="24"/>
          <w:vertAlign w:val="superscript"/>
        </w:rPr>
        <w:t>th</w:t>
      </w:r>
      <w:r>
        <w:rPr>
          <w:rFonts w:ascii="Arial" w:hAnsi="Arial" w:cs="Arial"/>
          <w:sz w:val="24"/>
          <w:szCs w:val="24"/>
        </w:rPr>
        <w:t xml:space="preserve"> February 2019</w:t>
      </w:r>
    </w:p>
    <w:p w:rsidR="0047390F" w:rsidRPr="00D3134F" w:rsidRDefault="0047390F" w:rsidP="0047390F">
      <w:pPr>
        <w:spacing w:after="0" w:line="240" w:lineRule="auto"/>
        <w:rPr>
          <w:rFonts w:ascii="Arial" w:hAnsi="Arial" w:cs="Arial"/>
          <w:sz w:val="24"/>
          <w:szCs w:val="24"/>
        </w:rPr>
      </w:pPr>
    </w:p>
    <w:p w:rsidR="0047390F" w:rsidRPr="00D3134F" w:rsidRDefault="00EE7244" w:rsidP="0047390F">
      <w:pPr>
        <w:spacing w:after="0" w:line="240" w:lineRule="auto"/>
        <w:rPr>
          <w:rFonts w:ascii="Arial" w:eastAsia="Times New Roman" w:hAnsi="Arial" w:cs="Arial"/>
          <w:b/>
          <w:sz w:val="24"/>
          <w:szCs w:val="24"/>
        </w:rPr>
      </w:pPr>
      <w:r>
        <w:rPr>
          <w:rFonts w:ascii="Arial" w:eastAsia="Times New Roman" w:hAnsi="Arial" w:cs="Arial"/>
          <w:b/>
          <w:sz w:val="24"/>
          <w:szCs w:val="24"/>
        </w:rPr>
        <w:fldChar w:fldCharType="begin"/>
      </w:r>
      <w:r>
        <w:rPr>
          <w:rFonts w:ascii="Arial" w:eastAsia="Times New Roman" w:hAnsi="Arial" w:cs="Arial"/>
          <w:b/>
          <w:sz w:val="24"/>
          <w:szCs w:val="24"/>
        </w:rPr>
        <w:instrText xml:space="preserve"> DOCPROPERTY  IssueTitle  \* MERGEFORMAT </w:instrText>
      </w:r>
      <w:r>
        <w:rPr>
          <w:rFonts w:ascii="Arial" w:eastAsia="Times New Roman" w:hAnsi="Arial" w:cs="Arial"/>
          <w:b/>
          <w:sz w:val="24"/>
          <w:szCs w:val="24"/>
        </w:rPr>
        <w:fldChar w:fldCharType="separate"/>
      </w:r>
      <w:r>
        <w:rPr>
          <w:rFonts w:ascii="Arial" w:eastAsia="Times New Roman" w:hAnsi="Arial" w:cs="Arial"/>
          <w:b/>
          <w:sz w:val="24"/>
          <w:szCs w:val="24"/>
        </w:rPr>
        <w:t>City Deal 6 Month Performance Monitoring Report - Year 5 2018/19 (April - September 2018)</w:t>
      </w:r>
      <w:r>
        <w:rPr>
          <w:rFonts w:ascii="Arial" w:eastAsia="Times New Roman" w:hAnsi="Arial" w:cs="Arial"/>
          <w:b/>
          <w:sz w:val="24"/>
          <w:szCs w:val="24"/>
        </w:rPr>
        <w:fldChar w:fldCharType="end"/>
      </w:r>
    </w:p>
    <w:p w:rsidR="0047390F" w:rsidRPr="00681F70" w:rsidRDefault="0047390F" w:rsidP="0047390F">
      <w:pPr>
        <w:spacing w:after="0" w:line="240" w:lineRule="auto"/>
        <w:jc w:val="both"/>
        <w:rPr>
          <w:rFonts w:ascii="Arial" w:hAnsi="Arial" w:cs="Arial"/>
          <w:sz w:val="24"/>
          <w:szCs w:val="24"/>
        </w:rPr>
      </w:pPr>
      <w:r>
        <w:rPr>
          <w:rFonts w:ascii="Arial" w:hAnsi="Arial" w:cs="Arial"/>
          <w:sz w:val="24"/>
          <w:szCs w:val="24"/>
        </w:rPr>
        <w:t>(</w:t>
      </w:r>
      <w:r w:rsidR="00EE7244" w:rsidRPr="00681F70">
        <w:rPr>
          <w:rFonts w:ascii="Arial" w:hAnsi="Arial" w:cs="Arial"/>
          <w:sz w:val="24"/>
          <w:szCs w:val="24"/>
        </w:rPr>
        <w:t xml:space="preserve">Appendix 1 – City Deal </w:t>
      </w:r>
      <w:r w:rsidR="00EE7244">
        <w:rPr>
          <w:rFonts w:ascii="Arial" w:hAnsi="Arial" w:cs="Arial"/>
          <w:sz w:val="24"/>
          <w:szCs w:val="24"/>
        </w:rPr>
        <w:t>P</w:t>
      </w:r>
      <w:r w:rsidR="00EE7244" w:rsidRPr="00681F70">
        <w:rPr>
          <w:rFonts w:ascii="Arial" w:hAnsi="Arial" w:cs="Arial"/>
          <w:sz w:val="24"/>
          <w:szCs w:val="24"/>
        </w:rPr>
        <w:t xml:space="preserve">erformance Dashboard, Appendix 2 – Housing and </w:t>
      </w:r>
      <w:r w:rsidR="00EE7244">
        <w:rPr>
          <w:rFonts w:ascii="Arial" w:hAnsi="Arial" w:cs="Arial"/>
          <w:sz w:val="24"/>
          <w:szCs w:val="24"/>
        </w:rPr>
        <w:t>C</w:t>
      </w:r>
      <w:r w:rsidR="00EE7244" w:rsidRPr="00681F70">
        <w:rPr>
          <w:rFonts w:ascii="Arial" w:hAnsi="Arial" w:cs="Arial"/>
          <w:sz w:val="24"/>
          <w:szCs w:val="24"/>
        </w:rPr>
        <w:t xml:space="preserve">ommercial </w:t>
      </w:r>
      <w:r w:rsidR="00EE7244">
        <w:rPr>
          <w:rFonts w:ascii="Arial" w:hAnsi="Arial" w:cs="Arial"/>
          <w:sz w:val="24"/>
          <w:szCs w:val="24"/>
        </w:rPr>
        <w:t>S</w:t>
      </w:r>
      <w:r w:rsidR="00EE7244" w:rsidRPr="00681F70">
        <w:rPr>
          <w:rFonts w:ascii="Arial" w:hAnsi="Arial" w:cs="Arial"/>
          <w:sz w:val="24"/>
          <w:szCs w:val="24"/>
        </w:rPr>
        <w:t xml:space="preserve">ites </w:t>
      </w:r>
      <w:r w:rsidR="00EE7244">
        <w:rPr>
          <w:rFonts w:ascii="Arial" w:hAnsi="Arial" w:cs="Arial"/>
          <w:sz w:val="24"/>
          <w:szCs w:val="24"/>
        </w:rPr>
        <w:t>D</w:t>
      </w:r>
      <w:r w:rsidR="00EE7244" w:rsidRPr="00681F70">
        <w:rPr>
          <w:rFonts w:ascii="Arial" w:hAnsi="Arial" w:cs="Arial"/>
          <w:sz w:val="24"/>
          <w:szCs w:val="24"/>
        </w:rPr>
        <w:t xml:space="preserve">ashboard, Appendix 3 - Employment and </w:t>
      </w:r>
      <w:r w:rsidR="00EE7244">
        <w:rPr>
          <w:rFonts w:ascii="Arial" w:hAnsi="Arial" w:cs="Arial"/>
          <w:sz w:val="24"/>
          <w:szCs w:val="24"/>
        </w:rPr>
        <w:t>S</w:t>
      </w:r>
      <w:r w:rsidR="00EE7244" w:rsidRPr="00681F70">
        <w:rPr>
          <w:rFonts w:ascii="Arial" w:hAnsi="Arial" w:cs="Arial"/>
          <w:sz w:val="24"/>
          <w:szCs w:val="24"/>
        </w:rPr>
        <w:t xml:space="preserve">kills </w:t>
      </w:r>
      <w:r w:rsidR="00EE7244">
        <w:rPr>
          <w:rFonts w:ascii="Arial" w:hAnsi="Arial" w:cs="Arial"/>
          <w:sz w:val="24"/>
          <w:szCs w:val="24"/>
        </w:rPr>
        <w:t>C</w:t>
      </w:r>
      <w:r w:rsidR="00EE7244" w:rsidRPr="00681F70">
        <w:rPr>
          <w:rFonts w:ascii="Arial" w:hAnsi="Arial" w:cs="Arial"/>
          <w:sz w:val="24"/>
          <w:szCs w:val="24"/>
        </w:rPr>
        <w:t xml:space="preserve">ase </w:t>
      </w:r>
      <w:r w:rsidR="00EE7244">
        <w:rPr>
          <w:rFonts w:ascii="Arial" w:hAnsi="Arial" w:cs="Arial"/>
          <w:sz w:val="24"/>
          <w:szCs w:val="24"/>
        </w:rPr>
        <w:t>S</w:t>
      </w:r>
      <w:r w:rsidR="00EE7244" w:rsidRPr="00681F70">
        <w:rPr>
          <w:rFonts w:ascii="Arial" w:hAnsi="Arial" w:cs="Arial"/>
          <w:sz w:val="24"/>
          <w:szCs w:val="24"/>
        </w:rPr>
        <w:t xml:space="preserve">tudies </w:t>
      </w:r>
      <w:r w:rsidR="00EE7244">
        <w:rPr>
          <w:rFonts w:ascii="Arial" w:hAnsi="Arial" w:cs="Arial"/>
          <w:sz w:val="24"/>
          <w:szCs w:val="24"/>
        </w:rPr>
        <w:t>D</w:t>
      </w:r>
      <w:r w:rsidR="00EE7244" w:rsidRPr="00681F70">
        <w:rPr>
          <w:rFonts w:ascii="Arial" w:hAnsi="Arial" w:cs="Arial"/>
          <w:sz w:val="24"/>
          <w:szCs w:val="24"/>
        </w:rPr>
        <w:t xml:space="preserve">ashboard, </w:t>
      </w:r>
      <w:r w:rsidR="00EE7244">
        <w:rPr>
          <w:rFonts w:ascii="Arial" w:hAnsi="Arial" w:cs="Arial"/>
          <w:sz w:val="24"/>
          <w:szCs w:val="24"/>
        </w:rPr>
        <w:t>A</w:t>
      </w:r>
      <w:r w:rsidR="00EE7244" w:rsidRPr="00681F70">
        <w:rPr>
          <w:rFonts w:ascii="Arial" w:hAnsi="Arial" w:cs="Arial"/>
          <w:sz w:val="24"/>
          <w:szCs w:val="24"/>
        </w:rPr>
        <w:t xml:space="preserve">ppendix 4 – Q2 </w:t>
      </w:r>
      <w:r w:rsidR="00EE7244">
        <w:rPr>
          <w:rFonts w:ascii="Arial" w:hAnsi="Arial" w:cs="Arial"/>
          <w:sz w:val="24"/>
          <w:szCs w:val="24"/>
        </w:rPr>
        <w:t>I</w:t>
      </w:r>
      <w:r w:rsidR="00EE7244" w:rsidRPr="00681F70">
        <w:rPr>
          <w:rFonts w:ascii="Arial" w:hAnsi="Arial" w:cs="Arial"/>
          <w:sz w:val="24"/>
          <w:szCs w:val="24"/>
        </w:rPr>
        <w:t xml:space="preserve">nfrastructure </w:t>
      </w:r>
      <w:r w:rsidR="00EE7244">
        <w:rPr>
          <w:rFonts w:ascii="Arial" w:hAnsi="Arial" w:cs="Arial"/>
          <w:sz w:val="24"/>
          <w:szCs w:val="24"/>
        </w:rPr>
        <w:t>P</w:t>
      </w:r>
      <w:r w:rsidR="00EE7244" w:rsidRPr="00681F70">
        <w:rPr>
          <w:rFonts w:ascii="Arial" w:hAnsi="Arial" w:cs="Arial"/>
          <w:sz w:val="24"/>
          <w:szCs w:val="24"/>
        </w:rPr>
        <w:t xml:space="preserve">erformance </w:t>
      </w:r>
      <w:r w:rsidR="00EE7244">
        <w:rPr>
          <w:rFonts w:ascii="Arial" w:hAnsi="Arial" w:cs="Arial"/>
          <w:sz w:val="24"/>
          <w:szCs w:val="24"/>
        </w:rPr>
        <w:t>D</w:t>
      </w:r>
      <w:r w:rsidR="00EE7244" w:rsidRPr="00681F70">
        <w:rPr>
          <w:rFonts w:ascii="Arial" w:hAnsi="Arial" w:cs="Arial"/>
          <w:sz w:val="24"/>
          <w:szCs w:val="24"/>
        </w:rPr>
        <w:t xml:space="preserve">ashboard, Appendix 5 - Risk </w:t>
      </w:r>
      <w:r w:rsidR="00EE7244">
        <w:rPr>
          <w:rFonts w:ascii="Arial" w:hAnsi="Arial" w:cs="Arial"/>
          <w:sz w:val="24"/>
          <w:szCs w:val="24"/>
        </w:rPr>
        <w:t>A</w:t>
      </w:r>
      <w:r w:rsidR="00EE7244" w:rsidRPr="00681F70">
        <w:rPr>
          <w:rFonts w:ascii="Arial" w:hAnsi="Arial" w:cs="Arial"/>
          <w:sz w:val="24"/>
          <w:szCs w:val="24"/>
        </w:rPr>
        <w:t>nalysis/</w:t>
      </w:r>
      <w:r w:rsidR="00EE7244">
        <w:rPr>
          <w:rFonts w:ascii="Arial" w:hAnsi="Arial" w:cs="Arial"/>
          <w:sz w:val="24"/>
          <w:szCs w:val="24"/>
        </w:rPr>
        <w:t>M</w:t>
      </w:r>
      <w:r w:rsidR="00EE7244" w:rsidRPr="00681F70">
        <w:rPr>
          <w:rFonts w:ascii="Arial" w:hAnsi="Arial" w:cs="Arial"/>
          <w:sz w:val="24"/>
          <w:szCs w:val="24"/>
        </w:rPr>
        <w:t>anagement.</w:t>
      </w:r>
      <w:r>
        <w:rPr>
          <w:rFonts w:ascii="Arial" w:hAnsi="Arial" w:cs="Arial"/>
          <w:sz w:val="24"/>
          <w:szCs w:val="24"/>
        </w:rPr>
        <w:t>)</w:t>
      </w:r>
    </w:p>
    <w:p w:rsidR="0047390F" w:rsidRPr="00D3134F" w:rsidRDefault="0047390F" w:rsidP="0047390F">
      <w:pPr>
        <w:spacing w:after="0" w:line="240" w:lineRule="auto"/>
        <w:rPr>
          <w:rFonts w:ascii="Arial" w:hAnsi="Arial" w:cs="Arial"/>
          <w:sz w:val="24"/>
          <w:szCs w:val="24"/>
        </w:rPr>
      </w:pPr>
    </w:p>
    <w:p w:rsidR="0047390F" w:rsidRPr="00D3134F" w:rsidRDefault="00EE7244" w:rsidP="0047390F">
      <w:pPr>
        <w:spacing w:after="0" w:line="240" w:lineRule="auto"/>
        <w:ind w:right="-873"/>
        <w:rPr>
          <w:rFonts w:ascii="Arial" w:eastAsia="Times New Roman" w:hAnsi="Arial" w:cs="Arial"/>
          <w:b/>
          <w:sz w:val="24"/>
          <w:szCs w:val="24"/>
        </w:rPr>
      </w:pPr>
      <w:r w:rsidRPr="00D3134F">
        <w:rPr>
          <w:rFonts w:ascii="Arial" w:hAnsi="Arial" w:cs="Arial"/>
          <w:b/>
          <w:sz w:val="24"/>
          <w:szCs w:val="24"/>
        </w:rPr>
        <w:t>Report Author:</w:t>
      </w:r>
      <w:r>
        <w:rPr>
          <w:rFonts w:ascii="Arial" w:hAnsi="Arial" w:cs="Arial"/>
          <w:b/>
          <w:sz w:val="24"/>
          <w:szCs w:val="24"/>
        </w:rPr>
        <w:t xml:space="preserve"> </w:t>
      </w:r>
      <w:r>
        <w:rPr>
          <w:rFonts w:ascii="Arial" w:hAnsi="Arial" w:cs="Arial"/>
          <w:b/>
          <w:sz w:val="24"/>
          <w:szCs w:val="24"/>
        </w:rPr>
        <w:fldChar w:fldCharType="begin"/>
      </w:r>
      <w:r>
        <w:rPr>
          <w:rFonts w:ascii="Arial" w:hAnsi="Arial" w:cs="Arial"/>
          <w:b/>
          <w:sz w:val="24"/>
          <w:szCs w:val="24"/>
        </w:rPr>
        <w:instrText xml:space="preserve"> DOCPROPERTY  LeadOfficer  \* MERGEFORMAT </w:instrText>
      </w:r>
      <w:r>
        <w:rPr>
          <w:rFonts w:ascii="Arial" w:hAnsi="Arial" w:cs="Arial"/>
          <w:b/>
          <w:sz w:val="24"/>
          <w:szCs w:val="24"/>
        </w:rPr>
        <w:fldChar w:fldCharType="separate"/>
      </w:r>
      <w:r>
        <w:rPr>
          <w:rFonts w:ascii="Arial" w:hAnsi="Arial" w:cs="Arial"/>
          <w:b/>
          <w:sz w:val="24"/>
          <w:szCs w:val="24"/>
        </w:rPr>
        <w:t>Joanne Hudson</w:t>
      </w:r>
      <w:r>
        <w:rPr>
          <w:rFonts w:ascii="Arial" w:hAnsi="Arial" w:cs="Arial"/>
          <w:b/>
          <w:sz w:val="24"/>
          <w:szCs w:val="24"/>
        </w:rPr>
        <w:fldChar w:fldCharType="end"/>
      </w:r>
      <w:r w:rsidRPr="00D3134F">
        <w:rPr>
          <w:rFonts w:ascii="Arial" w:hAnsi="Arial" w:cs="Arial"/>
          <w:b/>
          <w:sz w:val="24"/>
          <w:szCs w:val="24"/>
        </w:rPr>
        <w:t xml:space="preserve">, </w:t>
      </w:r>
      <w:r>
        <w:rPr>
          <w:rFonts w:ascii="Arial" w:hAnsi="Arial" w:cs="Arial"/>
          <w:b/>
          <w:sz w:val="24"/>
          <w:szCs w:val="24"/>
        </w:rPr>
        <w:t xml:space="preserve">City Deal Project Manager, </w:t>
      </w:r>
      <w:r>
        <w:rPr>
          <w:rFonts w:ascii="Arial" w:hAnsi="Arial" w:cs="Arial"/>
          <w:b/>
          <w:sz w:val="24"/>
          <w:szCs w:val="24"/>
        </w:rPr>
        <w:fldChar w:fldCharType="begin"/>
      </w:r>
      <w:r>
        <w:rPr>
          <w:rFonts w:ascii="Arial" w:hAnsi="Arial" w:cs="Arial"/>
          <w:b/>
          <w:sz w:val="24"/>
          <w:szCs w:val="24"/>
        </w:rPr>
        <w:instrText xml:space="preserve"> DOCPROPERTY  LeadOfficerTel  \* MERGEFORMAT </w:instrText>
      </w:r>
      <w:r>
        <w:rPr>
          <w:rFonts w:ascii="Arial" w:hAnsi="Arial" w:cs="Arial"/>
          <w:b/>
          <w:sz w:val="24"/>
          <w:szCs w:val="24"/>
        </w:rPr>
        <w:fldChar w:fldCharType="separate"/>
      </w:r>
      <w:r>
        <w:rPr>
          <w:rFonts w:ascii="Arial" w:hAnsi="Arial" w:cs="Arial"/>
          <w:b/>
          <w:sz w:val="24"/>
          <w:szCs w:val="24"/>
        </w:rPr>
        <w:t xml:space="preserve">Tel: 07772 </w:t>
      </w:r>
      <w:r>
        <w:rPr>
          <w:rFonts w:ascii="Arial" w:hAnsi="Arial" w:cs="Arial"/>
          <w:b/>
          <w:sz w:val="24"/>
          <w:szCs w:val="24"/>
        </w:rPr>
        <w:fldChar w:fldCharType="end"/>
      </w:r>
      <w:r>
        <w:rPr>
          <w:rFonts w:ascii="Arial" w:hAnsi="Arial" w:cs="Arial"/>
          <w:b/>
          <w:sz w:val="24"/>
          <w:szCs w:val="24"/>
        </w:rPr>
        <w:t>536609</w:t>
      </w:r>
      <w:r w:rsidRPr="00D3134F">
        <w:rPr>
          <w:rFonts w:ascii="Arial" w:hAnsi="Arial" w:cs="Arial"/>
          <w:b/>
          <w:sz w:val="24"/>
          <w:szCs w:val="24"/>
        </w:rPr>
        <w:t xml:space="preserve">, </w:t>
      </w:r>
    </w:p>
    <w:p w:rsidR="0047390F" w:rsidRPr="00D3134F" w:rsidRDefault="00EE7244" w:rsidP="0047390F">
      <w:pPr>
        <w:spacing w:after="0" w:line="240" w:lineRule="auto"/>
        <w:ind w:right="-873"/>
        <w:rPr>
          <w:rFonts w:ascii="Arial" w:hAnsi="Arial" w:cs="Arial"/>
          <w:b/>
          <w:sz w:val="24"/>
          <w:szCs w:val="24"/>
        </w:rPr>
      </w:pPr>
      <w:r>
        <w:rPr>
          <w:rFonts w:ascii="Arial" w:hAnsi="Arial" w:cs="Arial"/>
          <w:b/>
          <w:sz w:val="24"/>
          <w:szCs w:val="24"/>
        </w:rPr>
        <w:fldChar w:fldCharType="begin"/>
      </w:r>
      <w:r>
        <w:rPr>
          <w:rFonts w:ascii="Arial" w:hAnsi="Arial" w:cs="Arial"/>
          <w:b/>
          <w:sz w:val="24"/>
          <w:szCs w:val="24"/>
        </w:rPr>
        <w:instrText xml:space="preserve"> DOCPROPERTY  LeadOfficerEmail  \* MERGEFORMAT </w:instrText>
      </w:r>
      <w:r>
        <w:rPr>
          <w:rFonts w:ascii="Arial" w:hAnsi="Arial" w:cs="Arial"/>
          <w:b/>
          <w:sz w:val="24"/>
          <w:szCs w:val="24"/>
        </w:rPr>
        <w:fldChar w:fldCharType="separate"/>
      </w:r>
      <w:r>
        <w:rPr>
          <w:rFonts w:ascii="Arial" w:hAnsi="Arial" w:cs="Arial"/>
          <w:b/>
          <w:sz w:val="24"/>
          <w:szCs w:val="24"/>
        </w:rPr>
        <w:t>joanne.hudson@lancashire.gov.uk</w:t>
      </w:r>
      <w:r>
        <w:rPr>
          <w:rFonts w:ascii="Arial" w:hAnsi="Arial" w:cs="Arial"/>
          <w:b/>
          <w:sz w:val="24"/>
          <w:szCs w:val="24"/>
        </w:rPr>
        <w:fldChar w:fldCharType="end"/>
      </w:r>
    </w:p>
    <w:p w:rsidR="0047390F" w:rsidRPr="00D3134F" w:rsidRDefault="0047390F" w:rsidP="0047390F">
      <w:pPr>
        <w:spacing w:after="0" w:line="240" w:lineRule="auto"/>
        <w:rPr>
          <w:rFonts w:ascii="Arial" w:hAnsi="Arial" w:cs="Arial"/>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C07FE1" w:rsidTr="0047390F">
        <w:tc>
          <w:tcPr>
            <w:tcW w:w="9180" w:type="dxa"/>
          </w:tcPr>
          <w:p w:rsidR="0047390F" w:rsidRPr="00D3134F" w:rsidRDefault="0047390F" w:rsidP="0047390F">
            <w:pPr>
              <w:pStyle w:val="Header"/>
              <w:rPr>
                <w:rFonts w:ascii="Arial" w:hAnsi="Arial" w:cs="Arial"/>
                <w:sz w:val="24"/>
                <w:szCs w:val="24"/>
              </w:rPr>
            </w:pPr>
          </w:p>
          <w:p w:rsidR="0047390F" w:rsidRPr="00D3134F" w:rsidRDefault="00EE7244" w:rsidP="0047390F">
            <w:pPr>
              <w:pStyle w:val="Heading6"/>
              <w:spacing w:before="0" w:line="240" w:lineRule="auto"/>
              <w:rPr>
                <w:rFonts w:ascii="Arial" w:hAnsi="Arial" w:cs="Arial"/>
                <w:b/>
                <w:color w:val="auto"/>
              </w:rPr>
            </w:pPr>
            <w:r w:rsidRPr="00D3134F">
              <w:rPr>
                <w:rFonts w:ascii="Arial" w:hAnsi="Arial" w:cs="Arial"/>
                <w:b/>
                <w:color w:val="auto"/>
              </w:rPr>
              <w:t>Executive Summary</w:t>
            </w:r>
          </w:p>
          <w:p w:rsidR="0047390F" w:rsidRPr="00D3134F" w:rsidRDefault="0047390F" w:rsidP="0047390F">
            <w:pPr>
              <w:spacing w:after="0" w:line="240" w:lineRule="auto"/>
              <w:rPr>
                <w:rFonts w:ascii="Arial" w:hAnsi="Arial" w:cs="Arial"/>
                <w:sz w:val="24"/>
                <w:szCs w:val="24"/>
              </w:rPr>
            </w:pPr>
          </w:p>
          <w:p w:rsidR="0047390F" w:rsidRPr="00681F70" w:rsidRDefault="00EE7244" w:rsidP="0047390F">
            <w:pPr>
              <w:tabs>
                <w:tab w:val="left" w:pos="29"/>
              </w:tabs>
              <w:spacing w:after="0" w:line="240" w:lineRule="auto"/>
              <w:ind w:left="29"/>
              <w:jc w:val="both"/>
              <w:rPr>
                <w:rFonts w:ascii="Arial" w:hAnsi="Arial" w:cs="Arial"/>
                <w:sz w:val="24"/>
                <w:szCs w:val="24"/>
              </w:rPr>
            </w:pPr>
            <w:r w:rsidRPr="00681F70">
              <w:rPr>
                <w:rFonts w:ascii="Arial" w:hAnsi="Arial" w:cs="Arial"/>
                <w:sz w:val="24"/>
                <w:szCs w:val="24"/>
              </w:rPr>
              <w:t xml:space="preserve">This report provides the City Deal Executive and Stewardship Board with an overview of how the Programme has performed during the six month period from April - September 2018.  The City Deal </w:t>
            </w:r>
            <w:r>
              <w:rPr>
                <w:rFonts w:ascii="Arial" w:hAnsi="Arial" w:cs="Arial"/>
                <w:sz w:val="24"/>
                <w:szCs w:val="24"/>
              </w:rPr>
              <w:t>P</w:t>
            </w:r>
            <w:r w:rsidRPr="00681F70">
              <w:rPr>
                <w:rFonts w:ascii="Arial" w:hAnsi="Arial" w:cs="Arial"/>
                <w:sz w:val="24"/>
                <w:szCs w:val="24"/>
              </w:rPr>
              <w:t xml:space="preserve">erformance </w:t>
            </w:r>
            <w:r>
              <w:rPr>
                <w:rFonts w:ascii="Arial" w:hAnsi="Arial" w:cs="Arial"/>
                <w:sz w:val="24"/>
                <w:szCs w:val="24"/>
              </w:rPr>
              <w:t>D</w:t>
            </w:r>
            <w:r w:rsidRPr="00681F70">
              <w:rPr>
                <w:rFonts w:ascii="Arial" w:hAnsi="Arial" w:cs="Arial"/>
                <w:sz w:val="24"/>
                <w:szCs w:val="24"/>
              </w:rPr>
              <w:t>ashboa</w:t>
            </w:r>
            <w:r w:rsidR="00786A76">
              <w:rPr>
                <w:rFonts w:ascii="Arial" w:hAnsi="Arial" w:cs="Arial"/>
                <w:sz w:val="24"/>
                <w:szCs w:val="24"/>
              </w:rPr>
              <w:t>rd (A</w:t>
            </w:r>
            <w:r w:rsidRPr="00681F70">
              <w:rPr>
                <w:rFonts w:ascii="Arial" w:hAnsi="Arial" w:cs="Arial"/>
                <w:sz w:val="24"/>
                <w:szCs w:val="24"/>
              </w:rPr>
              <w:t xml:space="preserve">ppendix1) attached provides a summary of performance against core and supporting outputs and will form part of the return to </w:t>
            </w:r>
            <w:r>
              <w:rPr>
                <w:rFonts w:ascii="Arial" w:hAnsi="Arial" w:cs="Arial"/>
                <w:sz w:val="24"/>
                <w:szCs w:val="24"/>
              </w:rPr>
              <w:t>G</w:t>
            </w:r>
            <w:r w:rsidRPr="00681F70">
              <w:rPr>
                <w:rFonts w:ascii="Arial" w:hAnsi="Arial" w:cs="Arial"/>
                <w:sz w:val="24"/>
                <w:szCs w:val="24"/>
              </w:rPr>
              <w:t>overnment.</w:t>
            </w:r>
          </w:p>
          <w:p w:rsidR="0047390F" w:rsidRPr="00681F70" w:rsidRDefault="00EE7244" w:rsidP="0047390F">
            <w:pPr>
              <w:tabs>
                <w:tab w:val="left" w:pos="29"/>
              </w:tabs>
              <w:spacing w:after="0" w:line="240" w:lineRule="auto"/>
              <w:ind w:left="29"/>
              <w:jc w:val="both"/>
              <w:rPr>
                <w:rFonts w:ascii="Arial" w:hAnsi="Arial" w:cs="Arial"/>
                <w:sz w:val="24"/>
                <w:szCs w:val="24"/>
              </w:rPr>
            </w:pPr>
            <w:r w:rsidRPr="00681F70">
              <w:rPr>
                <w:rFonts w:ascii="Arial" w:hAnsi="Arial" w:cs="Arial"/>
                <w:sz w:val="24"/>
                <w:szCs w:val="24"/>
              </w:rPr>
              <w:t xml:space="preserve"> </w:t>
            </w:r>
          </w:p>
          <w:p w:rsidR="0047390F" w:rsidRPr="00681F70" w:rsidRDefault="00EE7244" w:rsidP="0047390F">
            <w:pPr>
              <w:tabs>
                <w:tab w:val="left" w:pos="29"/>
              </w:tabs>
              <w:spacing w:after="0" w:line="240" w:lineRule="auto"/>
              <w:ind w:left="29"/>
              <w:jc w:val="both"/>
              <w:rPr>
                <w:rFonts w:ascii="Arial" w:hAnsi="Arial" w:cs="Arial"/>
                <w:sz w:val="24"/>
                <w:szCs w:val="24"/>
              </w:rPr>
            </w:pPr>
            <w:r w:rsidRPr="00681F70">
              <w:rPr>
                <w:rFonts w:ascii="Arial" w:hAnsi="Arial" w:cs="Arial"/>
                <w:sz w:val="24"/>
                <w:szCs w:val="24"/>
              </w:rPr>
              <w:t>Performance can be summarised as follows:</w:t>
            </w:r>
          </w:p>
          <w:p w:rsidR="0047390F" w:rsidRPr="00681F70" w:rsidRDefault="0047390F" w:rsidP="0047390F">
            <w:pPr>
              <w:tabs>
                <w:tab w:val="left" w:pos="29"/>
              </w:tabs>
              <w:spacing w:after="0" w:line="240" w:lineRule="auto"/>
              <w:ind w:left="29"/>
              <w:jc w:val="both"/>
              <w:rPr>
                <w:rFonts w:ascii="Arial" w:hAnsi="Arial" w:cs="Arial"/>
                <w:sz w:val="24"/>
                <w:szCs w:val="24"/>
              </w:rPr>
            </w:pPr>
          </w:p>
          <w:p w:rsidR="0047390F" w:rsidRDefault="00EE7244" w:rsidP="0047390F">
            <w:pPr>
              <w:tabs>
                <w:tab w:val="left" w:pos="29"/>
              </w:tabs>
              <w:spacing w:after="0" w:line="240" w:lineRule="auto"/>
              <w:ind w:left="29"/>
              <w:jc w:val="both"/>
              <w:rPr>
                <w:rFonts w:ascii="Arial" w:hAnsi="Arial" w:cs="Arial"/>
                <w:sz w:val="24"/>
                <w:szCs w:val="24"/>
              </w:rPr>
            </w:pPr>
            <w:r w:rsidRPr="00681F70">
              <w:rPr>
                <w:rFonts w:ascii="Arial" w:hAnsi="Arial" w:cs="Arial"/>
                <w:b/>
                <w:sz w:val="24"/>
                <w:szCs w:val="24"/>
              </w:rPr>
              <w:t>Housing outputs</w:t>
            </w:r>
            <w:r w:rsidRPr="00681F70">
              <w:rPr>
                <w:rFonts w:ascii="Arial" w:hAnsi="Arial" w:cs="Arial"/>
                <w:sz w:val="24"/>
                <w:szCs w:val="24"/>
              </w:rPr>
              <w:t xml:space="preserve"> – Overall</w:t>
            </w:r>
            <w:r>
              <w:rPr>
                <w:rFonts w:ascii="Arial" w:hAnsi="Arial" w:cs="Arial"/>
                <w:sz w:val="24"/>
                <w:szCs w:val="24"/>
              </w:rPr>
              <w:t>,</w:t>
            </w:r>
            <w:r w:rsidRPr="00681F70">
              <w:rPr>
                <w:rFonts w:ascii="Arial" w:hAnsi="Arial" w:cs="Arial"/>
                <w:sz w:val="24"/>
                <w:szCs w:val="24"/>
              </w:rPr>
              <w:t xml:space="preserve"> housing performance is positive against </w:t>
            </w:r>
            <w:r>
              <w:rPr>
                <w:rFonts w:ascii="Arial" w:hAnsi="Arial" w:cs="Arial"/>
                <w:sz w:val="24"/>
                <w:szCs w:val="24"/>
              </w:rPr>
              <w:t xml:space="preserve">(15 year) </w:t>
            </w:r>
            <w:r w:rsidRPr="00681F70">
              <w:rPr>
                <w:rFonts w:ascii="Arial" w:hAnsi="Arial" w:cs="Arial"/>
                <w:sz w:val="24"/>
                <w:szCs w:val="24"/>
              </w:rPr>
              <w:t xml:space="preserve">targets with 540 unit completions against a revised target of 494. Total completions since the start of the deal are 4242 (including 346 re-use of empty homes) Individual site progress and performance on key sites is considered in </w:t>
            </w:r>
            <w:r w:rsidR="0047390F">
              <w:rPr>
                <w:rFonts w:ascii="Arial" w:hAnsi="Arial" w:cs="Arial"/>
                <w:sz w:val="24"/>
                <w:szCs w:val="24"/>
              </w:rPr>
              <w:t>A</w:t>
            </w:r>
            <w:r w:rsidRPr="00681F70">
              <w:rPr>
                <w:rFonts w:ascii="Arial" w:hAnsi="Arial" w:cs="Arial"/>
                <w:sz w:val="24"/>
                <w:szCs w:val="24"/>
              </w:rPr>
              <w:t xml:space="preserve">ppendix 2.  </w:t>
            </w:r>
          </w:p>
          <w:p w:rsidR="0047390F" w:rsidRPr="00681F70" w:rsidRDefault="0047390F" w:rsidP="0047390F">
            <w:pPr>
              <w:tabs>
                <w:tab w:val="left" w:pos="29"/>
              </w:tabs>
              <w:spacing w:after="0" w:line="240" w:lineRule="auto"/>
              <w:ind w:left="29"/>
              <w:jc w:val="both"/>
              <w:rPr>
                <w:rFonts w:ascii="Arial" w:hAnsi="Arial" w:cs="Arial"/>
                <w:sz w:val="24"/>
                <w:szCs w:val="24"/>
              </w:rPr>
            </w:pPr>
          </w:p>
          <w:p w:rsidR="0047390F" w:rsidRDefault="00EE7244" w:rsidP="0047390F">
            <w:pPr>
              <w:tabs>
                <w:tab w:val="left" w:pos="29"/>
              </w:tabs>
              <w:spacing w:after="0" w:line="240" w:lineRule="auto"/>
              <w:ind w:left="29"/>
              <w:jc w:val="both"/>
              <w:rPr>
                <w:rFonts w:ascii="Arial" w:hAnsi="Arial" w:cs="Arial"/>
                <w:sz w:val="24"/>
                <w:szCs w:val="24"/>
              </w:rPr>
            </w:pPr>
            <w:r w:rsidRPr="00681F70">
              <w:rPr>
                <w:rFonts w:ascii="Arial" w:hAnsi="Arial" w:cs="Arial"/>
                <w:b/>
                <w:sz w:val="24"/>
                <w:szCs w:val="24"/>
              </w:rPr>
              <w:t>Commercial sites</w:t>
            </w:r>
            <w:r w:rsidRPr="00681F70">
              <w:rPr>
                <w:rFonts w:ascii="Arial" w:hAnsi="Arial" w:cs="Arial"/>
                <w:sz w:val="24"/>
                <w:szCs w:val="24"/>
              </w:rPr>
              <w:t xml:space="preserve"> – Demand for commercial land remains high and commercial floorspace completions against targets in this monitoring period remain positive as are job creation figures.  Individual site performance and progress is considered in </w:t>
            </w:r>
            <w:r w:rsidR="0047390F">
              <w:rPr>
                <w:rFonts w:ascii="Arial" w:hAnsi="Arial" w:cs="Arial"/>
                <w:sz w:val="24"/>
                <w:szCs w:val="24"/>
              </w:rPr>
              <w:t>A</w:t>
            </w:r>
            <w:r w:rsidRPr="00681F70">
              <w:rPr>
                <w:rFonts w:ascii="Arial" w:hAnsi="Arial" w:cs="Arial"/>
                <w:sz w:val="24"/>
                <w:szCs w:val="24"/>
              </w:rPr>
              <w:t xml:space="preserve">ppendix 2.  Overall there has been a continuation of strong performance in commercial site activity, especially in respect of business park/edge of town retail/car showroom activity. Demand remains high at key employment sites in some sectors for industrial uses, with a range of schemes progressing well to make land available. The office market values remain challenging.    </w:t>
            </w:r>
          </w:p>
          <w:p w:rsidR="0047390F" w:rsidRPr="00681F70" w:rsidRDefault="00EE7244" w:rsidP="0047390F">
            <w:pPr>
              <w:tabs>
                <w:tab w:val="left" w:pos="29"/>
              </w:tabs>
              <w:spacing w:after="0" w:line="240" w:lineRule="auto"/>
              <w:ind w:left="29"/>
              <w:jc w:val="both"/>
              <w:rPr>
                <w:rFonts w:ascii="Arial" w:hAnsi="Arial" w:cs="Arial"/>
                <w:sz w:val="24"/>
                <w:szCs w:val="24"/>
              </w:rPr>
            </w:pPr>
            <w:r w:rsidRPr="00681F70">
              <w:rPr>
                <w:rFonts w:ascii="Arial" w:hAnsi="Arial" w:cs="Arial"/>
                <w:sz w:val="24"/>
                <w:szCs w:val="24"/>
              </w:rPr>
              <w:t xml:space="preserve">  </w:t>
            </w:r>
          </w:p>
          <w:p w:rsidR="0047390F" w:rsidRPr="00681F70" w:rsidRDefault="00EE7244" w:rsidP="0047390F">
            <w:pPr>
              <w:tabs>
                <w:tab w:val="left" w:pos="29"/>
              </w:tabs>
              <w:spacing w:after="0" w:line="240" w:lineRule="auto"/>
              <w:ind w:left="29"/>
              <w:jc w:val="both"/>
              <w:rPr>
                <w:rFonts w:ascii="Arial" w:hAnsi="Arial" w:cs="Arial"/>
                <w:sz w:val="24"/>
                <w:szCs w:val="24"/>
              </w:rPr>
            </w:pPr>
            <w:r w:rsidRPr="00681F70">
              <w:rPr>
                <w:rFonts w:ascii="Arial" w:hAnsi="Arial" w:cs="Arial"/>
                <w:b/>
                <w:sz w:val="24"/>
                <w:szCs w:val="24"/>
              </w:rPr>
              <w:t>Employment and skills</w:t>
            </w:r>
            <w:r w:rsidRPr="00681F70">
              <w:rPr>
                <w:rFonts w:ascii="Arial" w:hAnsi="Arial" w:cs="Arial"/>
                <w:sz w:val="24"/>
                <w:szCs w:val="24"/>
              </w:rPr>
              <w:t xml:space="preserve"> – Work continues with partners to deliver a range of activities with schools and businesses aimed at encouraging the recruitment of apprentices within the construction sector. This report represents the full end of year analysis of performance and activities in this area with detailed case studies presented in </w:t>
            </w:r>
            <w:r w:rsidR="0047390F">
              <w:rPr>
                <w:rFonts w:ascii="Arial" w:hAnsi="Arial" w:cs="Arial"/>
                <w:sz w:val="24"/>
                <w:szCs w:val="24"/>
              </w:rPr>
              <w:t>A</w:t>
            </w:r>
            <w:r w:rsidRPr="00681F70">
              <w:rPr>
                <w:rFonts w:ascii="Arial" w:hAnsi="Arial" w:cs="Arial"/>
                <w:sz w:val="24"/>
                <w:szCs w:val="24"/>
              </w:rPr>
              <w:t>ppendix 3.</w:t>
            </w:r>
          </w:p>
          <w:p w:rsidR="0047390F" w:rsidRDefault="00EE7244" w:rsidP="0047390F">
            <w:pPr>
              <w:tabs>
                <w:tab w:val="left" w:pos="29"/>
              </w:tabs>
              <w:spacing w:after="0" w:line="240" w:lineRule="auto"/>
              <w:ind w:left="29"/>
              <w:jc w:val="both"/>
              <w:rPr>
                <w:rFonts w:ascii="Arial" w:hAnsi="Arial" w:cs="Arial"/>
                <w:sz w:val="24"/>
                <w:szCs w:val="24"/>
              </w:rPr>
            </w:pPr>
            <w:r w:rsidRPr="00681F70">
              <w:rPr>
                <w:rFonts w:ascii="Arial" w:hAnsi="Arial" w:cs="Arial"/>
                <w:b/>
                <w:sz w:val="24"/>
                <w:szCs w:val="24"/>
              </w:rPr>
              <w:lastRenderedPageBreak/>
              <w:t>Public and Private sector investment</w:t>
            </w:r>
            <w:r w:rsidRPr="00681F70">
              <w:rPr>
                <w:rFonts w:ascii="Arial" w:hAnsi="Arial" w:cs="Arial"/>
                <w:sz w:val="24"/>
                <w:szCs w:val="24"/>
              </w:rPr>
              <w:t xml:space="preserve"> – A total of £9.5m of public and private sector investment has been made in transport infrastructure since April 2018.</w:t>
            </w:r>
          </w:p>
          <w:p w:rsidR="0047390F" w:rsidRPr="00681F70" w:rsidRDefault="0047390F" w:rsidP="0047390F">
            <w:pPr>
              <w:tabs>
                <w:tab w:val="left" w:pos="29"/>
              </w:tabs>
              <w:spacing w:after="0" w:line="240" w:lineRule="auto"/>
              <w:ind w:left="29"/>
              <w:jc w:val="both"/>
              <w:rPr>
                <w:rFonts w:ascii="Arial" w:hAnsi="Arial" w:cs="Arial"/>
                <w:sz w:val="24"/>
                <w:szCs w:val="24"/>
              </w:rPr>
            </w:pPr>
          </w:p>
          <w:p w:rsidR="0047390F" w:rsidRPr="00681F70" w:rsidRDefault="00EE7244" w:rsidP="0047390F">
            <w:pPr>
              <w:tabs>
                <w:tab w:val="left" w:pos="29"/>
              </w:tabs>
              <w:spacing w:after="0" w:line="240" w:lineRule="auto"/>
              <w:ind w:left="29"/>
              <w:jc w:val="both"/>
              <w:rPr>
                <w:rFonts w:ascii="Arial" w:hAnsi="Arial" w:cs="Arial"/>
                <w:sz w:val="24"/>
                <w:szCs w:val="24"/>
              </w:rPr>
            </w:pPr>
            <w:r w:rsidRPr="00681F70">
              <w:rPr>
                <w:rFonts w:ascii="Arial" w:hAnsi="Arial" w:cs="Arial"/>
                <w:b/>
                <w:sz w:val="24"/>
                <w:szCs w:val="24"/>
              </w:rPr>
              <w:t>Infrastructure update</w:t>
            </w:r>
            <w:r w:rsidRPr="00681F70">
              <w:rPr>
                <w:rFonts w:ascii="Arial" w:hAnsi="Arial" w:cs="Arial"/>
                <w:sz w:val="24"/>
                <w:szCs w:val="24"/>
              </w:rPr>
              <w:t xml:space="preserve"> – </w:t>
            </w:r>
            <w:r>
              <w:rPr>
                <w:rFonts w:ascii="Arial" w:hAnsi="Arial" w:cs="Arial"/>
                <w:sz w:val="24"/>
                <w:szCs w:val="24"/>
              </w:rPr>
              <w:t>A</w:t>
            </w:r>
            <w:r w:rsidRPr="00681F70">
              <w:rPr>
                <w:rFonts w:ascii="Arial" w:hAnsi="Arial" w:cs="Arial"/>
                <w:sz w:val="24"/>
                <w:szCs w:val="24"/>
              </w:rPr>
              <w:t>ppendix 4 provides an update on performance against milestones for all infrastructure schemes in quarter 2 – July – September 2018.  A number of schemes are reporting as red or amber in this quarter.  Uncertainty around finances as well as resourcing are the main reasons for schemes being red, similarly competing priorities for a number of schemes have resulted in an amber rating and subsequent delays.</w:t>
            </w:r>
          </w:p>
          <w:p w:rsidR="0047390F" w:rsidRPr="00681F70" w:rsidRDefault="0047390F" w:rsidP="0047390F">
            <w:pPr>
              <w:tabs>
                <w:tab w:val="left" w:pos="29"/>
              </w:tabs>
              <w:spacing w:after="0" w:line="240" w:lineRule="auto"/>
              <w:ind w:left="29"/>
              <w:jc w:val="both"/>
              <w:rPr>
                <w:rFonts w:ascii="Arial" w:hAnsi="Arial" w:cs="Arial"/>
                <w:sz w:val="24"/>
                <w:szCs w:val="24"/>
              </w:rPr>
            </w:pPr>
          </w:p>
          <w:p w:rsidR="0047390F" w:rsidRPr="00681F70" w:rsidRDefault="00EE7244" w:rsidP="0047390F">
            <w:pPr>
              <w:tabs>
                <w:tab w:val="left" w:pos="29"/>
              </w:tabs>
              <w:spacing w:after="0" w:line="240" w:lineRule="auto"/>
              <w:ind w:left="29"/>
              <w:jc w:val="both"/>
              <w:rPr>
                <w:rFonts w:ascii="Arial" w:hAnsi="Arial" w:cs="Arial"/>
                <w:sz w:val="24"/>
                <w:szCs w:val="24"/>
              </w:rPr>
            </w:pPr>
            <w:r w:rsidRPr="00681F70">
              <w:rPr>
                <w:rFonts w:ascii="Arial" w:hAnsi="Arial" w:cs="Arial"/>
                <w:b/>
                <w:sz w:val="24"/>
                <w:szCs w:val="24"/>
              </w:rPr>
              <w:t xml:space="preserve">Risk analysis and management </w:t>
            </w:r>
            <w:r w:rsidRPr="00681F70">
              <w:rPr>
                <w:rFonts w:ascii="Arial" w:hAnsi="Arial" w:cs="Arial"/>
                <w:sz w:val="24"/>
                <w:szCs w:val="24"/>
              </w:rPr>
              <w:t xml:space="preserve">– </w:t>
            </w:r>
            <w:r>
              <w:rPr>
                <w:rFonts w:ascii="Arial" w:hAnsi="Arial" w:cs="Arial"/>
                <w:sz w:val="24"/>
                <w:szCs w:val="24"/>
              </w:rPr>
              <w:t>A</w:t>
            </w:r>
            <w:r w:rsidRPr="00681F70">
              <w:rPr>
                <w:rFonts w:ascii="Arial" w:hAnsi="Arial" w:cs="Arial"/>
                <w:sz w:val="24"/>
                <w:szCs w:val="24"/>
              </w:rPr>
              <w:t>ppendix 5 provides an overview of programme level risks and mitigation actions.</w:t>
            </w:r>
          </w:p>
          <w:p w:rsidR="0047390F" w:rsidRPr="00D3134F" w:rsidRDefault="0047390F" w:rsidP="0047390F">
            <w:pPr>
              <w:spacing w:after="0" w:line="240" w:lineRule="auto"/>
              <w:rPr>
                <w:rFonts w:ascii="Arial" w:hAnsi="Arial" w:cs="Arial"/>
                <w:sz w:val="24"/>
                <w:szCs w:val="24"/>
              </w:rPr>
            </w:pPr>
          </w:p>
          <w:p w:rsidR="0047390F" w:rsidRPr="00D3134F" w:rsidRDefault="00EE7244" w:rsidP="0047390F">
            <w:pPr>
              <w:pStyle w:val="Heading5"/>
              <w:spacing w:before="0" w:line="240" w:lineRule="auto"/>
              <w:rPr>
                <w:rFonts w:ascii="Arial" w:hAnsi="Arial" w:cs="Arial"/>
                <w:b/>
                <w:color w:val="auto"/>
              </w:rPr>
            </w:pPr>
            <w:r w:rsidRPr="00D3134F">
              <w:rPr>
                <w:rFonts w:ascii="Arial" w:hAnsi="Arial" w:cs="Arial"/>
                <w:b/>
                <w:color w:val="auto"/>
              </w:rPr>
              <w:t>Recommendation</w:t>
            </w:r>
          </w:p>
          <w:p w:rsidR="0047390F" w:rsidRPr="00D3134F" w:rsidRDefault="0047390F" w:rsidP="0047390F">
            <w:pPr>
              <w:spacing w:after="0" w:line="240" w:lineRule="auto"/>
              <w:rPr>
                <w:rFonts w:ascii="Arial" w:hAnsi="Arial" w:cs="Arial"/>
                <w:sz w:val="24"/>
                <w:szCs w:val="24"/>
              </w:rPr>
            </w:pPr>
          </w:p>
          <w:p w:rsidR="0047390F" w:rsidRPr="00D3134F" w:rsidRDefault="00EE7244" w:rsidP="0047390F">
            <w:pPr>
              <w:tabs>
                <w:tab w:val="left" w:pos="0"/>
              </w:tabs>
              <w:spacing w:after="0" w:line="240" w:lineRule="auto"/>
              <w:ind w:left="29" w:hanging="29"/>
              <w:jc w:val="both"/>
              <w:rPr>
                <w:rFonts w:ascii="Arial" w:hAnsi="Arial" w:cs="Arial"/>
                <w:sz w:val="24"/>
                <w:szCs w:val="24"/>
              </w:rPr>
            </w:pPr>
            <w:r w:rsidRPr="00681F70">
              <w:rPr>
                <w:rFonts w:ascii="Arial" w:hAnsi="Arial" w:cs="Arial"/>
                <w:sz w:val="24"/>
                <w:szCs w:val="24"/>
              </w:rPr>
              <w:t>The City Deal Executive and Stewardship Board is requested to note the overall performance of the Programme in this monitoring period and endorse the proposed 6 monthly return to Government as set out in the report.</w:t>
            </w:r>
          </w:p>
          <w:p w:rsidR="0047390F" w:rsidRPr="00D3134F" w:rsidRDefault="0047390F" w:rsidP="0047390F">
            <w:pPr>
              <w:spacing w:after="0" w:line="240" w:lineRule="auto"/>
              <w:rPr>
                <w:rFonts w:ascii="Arial" w:hAnsi="Arial" w:cs="Arial"/>
                <w:sz w:val="24"/>
                <w:szCs w:val="24"/>
              </w:rPr>
            </w:pPr>
          </w:p>
        </w:tc>
      </w:tr>
    </w:tbl>
    <w:p w:rsidR="0047390F" w:rsidRPr="00D3134F" w:rsidRDefault="0047390F" w:rsidP="0047390F">
      <w:pPr>
        <w:pStyle w:val="Header"/>
        <w:rPr>
          <w:rFonts w:ascii="Arial" w:hAnsi="Arial" w:cs="Arial"/>
          <w:sz w:val="24"/>
          <w:szCs w:val="24"/>
        </w:rPr>
      </w:pPr>
    </w:p>
    <w:p w:rsidR="0047390F" w:rsidRPr="00681F70" w:rsidRDefault="0047390F" w:rsidP="0047390F">
      <w:pPr>
        <w:spacing w:after="0" w:line="240" w:lineRule="auto"/>
        <w:jc w:val="both"/>
        <w:rPr>
          <w:rFonts w:ascii="Arial" w:hAnsi="Arial" w:cs="Arial"/>
          <w:b/>
          <w:sz w:val="24"/>
          <w:szCs w:val="24"/>
        </w:rPr>
      </w:pPr>
    </w:p>
    <w:p w:rsidR="0047390F" w:rsidRPr="00681F70" w:rsidRDefault="00EE7244" w:rsidP="0047390F">
      <w:pPr>
        <w:numPr>
          <w:ilvl w:val="0"/>
          <w:numId w:val="6"/>
        </w:numPr>
        <w:spacing w:after="0" w:line="240" w:lineRule="auto"/>
        <w:ind w:hanging="502"/>
        <w:contextualSpacing/>
        <w:jc w:val="both"/>
        <w:rPr>
          <w:rFonts w:ascii="Arial" w:hAnsi="Arial" w:cs="Arial"/>
          <w:b/>
          <w:sz w:val="24"/>
          <w:szCs w:val="24"/>
        </w:rPr>
      </w:pPr>
      <w:r w:rsidRPr="00681F70">
        <w:rPr>
          <w:rFonts w:ascii="Arial" w:hAnsi="Arial" w:cs="Arial"/>
          <w:b/>
          <w:sz w:val="24"/>
          <w:szCs w:val="24"/>
        </w:rPr>
        <w:t xml:space="preserve">Background and Advice </w:t>
      </w:r>
    </w:p>
    <w:p w:rsidR="0047390F" w:rsidRPr="00681F70" w:rsidRDefault="0047390F" w:rsidP="0047390F">
      <w:pPr>
        <w:tabs>
          <w:tab w:val="left" w:pos="426"/>
        </w:tabs>
        <w:spacing w:after="0" w:line="240" w:lineRule="auto"/>
        <w:jc w:val="both"/>
        <w:rPr>
          <w:rFonts w:ascii="Arial" w:hAnsi="Arial" w:cs="Arial"/>
          <w:b/>
          <w:sz w:val="24"/>
          <w:szCs w:val="24"/>
        </w:rPr>
      </w:pPr>
    </w:p>
    <w:p w:rsidR="0047390F" w:rsidRPr="00681F70" w:rsidRDefault="00EE7244" w:rsidP="00786A76">
      <w:pPr>
        <w:tabs>
          <w:tab w:val="left" w:pos="426"/>
        </w:tabs>
        <w:spacing w:after="0" w:line="240" w:lineRule="auto"/>
        <w:ind w:left="426" w:hanging="426"/>
        <w:jc w:val="both"/>
        <w:rPr>
          <w:rFonts w:ascii="Arial" w:hAnsi="Arial" w:cs="Arial"/>
          <w:sz w:val="24"/>
          <w:szCs w:val="24"/>
        </w:rPr>
      </w:pPr>
      <w:r w:rsidRPr="00681F70">
        <w:rPr>
          <w:rFonts w:ascii="Arial" w:hAnsi="Arial" w:cs="Arial"/>
          <w:sz w:val="24"/>
          <w:szCs w:val="24"/>
        </w:rPr>
        <w:t xml:space="preserve">1.1 This report provides an update on performance over the last six months on both core and supporting outputs.  </w:t>
      </w:r>
    </w:p>
    <w:p w:rsidR="0047390F" w:rsidRPr="00681F70" w:rsidRDefault="0047390F" w:rsidP="00786A76">
      <w:pPr>
        <w:tabs>
          <w:tab w:val="left" w:pos="426"/>
        </w:tabs>
        <w:spacing w:after="0" w:line="240" w:lineRule="auto"/>
        <w:ind w:left="360" w:hanging="360"/>
        <w:contextualSpacing/>
        <w:jc w:val="both"/>
        <w:rPr>
          <w:rFonts w:ascii="Arial" w:hAnsi="Arial" w:cs="Arial"/>
          <w:sz w:val="24"/>
          <w:szCs w:val="24"/>
        </w:rPr>
      </w:pPr>
    </w:p>
    <w:p w:rsidR="0047390F" w:rsidRPr="00681F70" w:rsidRDefault="00EE7244" w:rsidP="00786A76">
      <w:pPr>
        <w:tabs>
          <w:tab w:val="left" w:pos="426"/>
        </w:tabs>
        <w:spacing w:after="0" w:line="240" w:lineRule="auto"/>
        <w:jc w:val="both"/>
        <w:rPr>
          <w:rFonts w:ascii="Arial" w:hAnsi="Arial" w:cs="Arial"/>
          <w:b/>
          <w:sz w:val="24"/>
          <w:szCs w:val="24"/>
        </w:rPr>
      </w:pPr>
      <w:r w:rsidRPr="00681F70">
        <w:rPr>
          <w:rFonts w:ascii="Arial" w:hAnsi="Arial" w:cs="Arial"/>
          <w:b/>
          <w:sz w:val="24"/>
          <w:szCs w:val="24"/>
        </w:rPr>
        <w:t xml:space="preserve">2.0 Housing Outputs </w:t>
      </w:r>
    </w:p>
    <w:p w:rsidR="0047390F" w:rsidRPr="00681F70" w:rsidRDefault="0047390F" w:rsidP="00786A76">
      <w:pPr>
        <w:tabs>
          <w:tab w:val="left" w:pos="426"/>
        </w:tabs>
        <w:spacing w:after="0" w:line="240" w:lineRule="auto"/>
        <w:jc w:val="both"/>
        <w:rPr>
          <w:rFonts w:ascii="Arial" w:hAnsi="Arial" w:cs="Arial"/>
          <w:sz w:val="24"/>
          <w:szCs w:val="24"/>
        </w:rPr>
      </w:pPr>
    </w:p>
    <w:p w:rsidR="0047390F" w:rsidRPr="00681F70" w:rsidRDefault="00EE7244" w:rsidP="00786A76">
      <w:pPr>
        <w:tabs>
          <w:tab w:val="left" w:pos="426"/>
        </w:tabs>
        <w:spacing w:after="0" w:line="240" w:lineRule="auto"/>
        <w:ind w:left="426" w:hanging="426"/>
        <w:jc w:val="both"/>
        <w:rPr>
          <w:rFonts w:ascii="Arial" w:hAnsi="Arial" w:cs="Arial"/>
          <w:sz w:val="24"/>
          <w:szCs w:val="24"/>
        </w:rPr>
      </w:pPr>
      <w:r w:rsidRPr="00681F70">
        <w:rPr>
          <w:rFonts w:ascii="Arial" w:hAnsi="Arial" w:cs="Arial"/>
          <w:sz w:val="24"/>
          <w:szCs w:val="24"/>
        </w:rPr>
        <w:t xml:space="preserve">2.1 Overall, since the start of the Deal period, housing completions stand at </w:t>
      </w:r>
      <w:r w:rsidRPr="00681F70">
        <w:rPr>
          <w:rFonts w:ascii="Arial" w:hAnsi="Arial" w:cs="Arial"/>
          <w:b/>
          <w:sz w:val="24"/>
          <w:szCs w:val="24"/>
        </w:rPr>
        <w:t xml:space="preserve">4242 </w:t>
      </w:r>
      <w:r w:rsidRPr="00681F70">
        <w:rPr>
          <w:rFonts w:ascii="Arial" w:hAnsi="Arial" w:cs="Arial"/>
          <w:sz w:val="24"/>
          <w:szCs w:val="24"/>
        </w:rPr>
        <w:t xml:space="preserve">with </w:t>
      </w:r>
      <w:r w:rsidRPr="00681F70">
        <w:rPr>
          <w:rFonts w:ascii="Arial" w:hAnsi="Arial" w:cs="Arial"/>
          <w:b/>
          <w:sz w:val="24"/>
          <w:szCs w:val="24"/>
        </w:rPr>
        <w:t xml:space="preserve">540 </w:t>
      </w:r>
      <w:r w:rsidRPr="00681F70">
        <w:rPr>
          <w:rFonts w:ascii="Arial" w:hAnsi="Arial" w:cs="Arial"/>
          <w:sz w:val="24"/>
          <w:szCs w:val="24"/>
        </w:rPr>
        <w:t xml:space="preserve">completions in the last six month period between April and September 2018, the target for this period was </w:t>
      </w:r>
      <w:r w:rsidRPr="00681F70">
        <w:rPr>
          <w:rFonts w:ascii="Arial" w:hAnsi="Arial" w:cs="Arial"/>
          <w:b/>
          <w:sz w:val="24"/>
          <w:szCs w:val="24"/>
        </w:rPr>
        <w:t>494</w:t>
      </w:r>
      <w:r>
        <w:rPr>
          <w:rFonts w:ascii="Arial" w:hAnsi="Arial" w:cs="Arial"/>
          <w:b/>
          <w:sz w:val="24"/>
          <w:szCs w:val="24"/>
        </w:rPr>
        <w:t xml:space="preserve"> (based on a 15 year forecast of delivery)</w:t>
      </w:r>
      <w:r w:rsidRPr="00681F70">
        <w:rPr>
          <w:rFonts w:ascii="Arial" w:hAnsi="Arial" w:cs="Arial"/>
          <w:sz w:val="24"/>
          <w:szCs w:val="24"/>
        </w:rPr>
        <w:t>.  Of the completions to date</w:t>
      </w:r>
      <w:r>
        <w:rPr>
          <w:rFonts w:ascii="Arial" w:hAnsi="Arial" w:cs="Arial"/>
          <w:sz w:val="24"/>
          <w:szCs w:val="24"/>
        </w:rPr>
        <w:t>,</w:t>
      </w:r>
      <w:r w:rsidRPr="00681F70">
        <w:rPr>
          <w:rFonts w:ascii="Arial" w:hAnsi="Arial" w:cs="Arial"/>
          <w:sz w:val="24"/>
          <w:szCs w:val="24"/>
        </w:rPr>
        <w:t xml:space="preserve"> 346 were from the re-use of empty homes.</w:t>
      </w:r>
    </w:p>
    <w:p w:rsidR="0047390F" w:rsidRPr="00681F70" w:rsidRDefault="0047390F" w:rsidP="00786A76">
      <w:pPr>
        <w:spacing w:after="0" w:line="240" w:lineRule="auto"/>
        <w:jc w:val="both"/>
        <w:rPr>
          <w:rFonts w:ascii="Arial" w:hAnsi="Arial" w:cs="Arial"/>
          <w:sz w:val="24"/>
          <w:szCs w:val="24"/>
        </w:rPr>
      </w:pPr>
    </w:p>
    <w:p w:rsidR="0047390F" w:rsidRPr="00681F70" w:rsidRDefault="00EE7244" w:rsidP="00786A76">
      <w:pPr>
        <w:spacing w:after="0" w:line="240" w:lineRule="auto"/>
        <w:ind w:left="426" w:hanging="426"/>
        <w:jc w:val="both"/>
        <w:rPr>
          <w:rFonts w:ascii="Arial" w:hAnsi="Arial" w:cs="Arial"/>
          <w:sz w:val="24"/>
          <w:szCs w:val="24"/>
        </w:rPr>
      </w:pPr>
      <w:r w:rsidRPr="00681F70">
        <w:rPr>
          <w:rFonts w:ascii="Arial" w:hAnsi="Arial" w:cs="Arial"/>
          <w:sz w:val="24"/>
          <w:szCs w:val="24"/>
        </w:rPr>
        <w:t xml:space="preserve">2.2 From the planning perspective, a total of </w:t>
      </w:r>
      <w:r w:rsidRPr="00681F70">
        <w:rPr>
          <w:rFonts w:ascii="Arial" w:hAnsi="Arial" w:cs="Arial"/>
          <w:b/>
          <w:sz w:val="24"/>
          <w:szCs w:val="24"/>
        </w:rPr>
        <w:t xml:space="preserve">14570 </w:t>
      </w:r>
      <w:r w:rsidRPr="00681F70">
        <w:rPr>
          <w:rFonts w:ascii="Arial" w:hAnsi="Arial" w:cs="Arial"/>
          <w:sz w:val="24"/>
          <w:szCs w:val="24"/>
        </w:rPr>
        <w:t xml:space="preserve">housing units cumulatively have been submitted for planning to date with </w:t>
      </w:r>
      <w:r w:rsidRPr="00681F70">
        <w:rPr>
          <w:rFonts w:ascii="Arial" w:hAnsi="Arial" w:cs="Arial"/>
          <w:b/>
          <w:sz w:val="24"/>
          <w:szCs w:val="24"/>
        </w:rPr>
        <w:t>14136</w:t>
      </w:r>
      <w:r w:rsidRPr="00681F70">
        <w:rPr>
          <w:rFonts w:ascii="Arial" w:hAnsi="Arial" w:cs="Arial"/>
          <w:sz w:val="24"/>
          <w:szCs w:val="24"/>
        </w:rPr>
        <w:t xml:space="preserve"> being consented with outline or full planning permission.  In the last six months </w:t>
      </w:r>
      <w:r w:rsidRPr="00681F70">
        <w:rPr>
          <w:rFonts w:ascii="Arial" w:hAnsi="Arial" w:cs="Arial"/>
          <w:b/>
          <w:sz w:val="24"/>
          <w:szCs w:val="24"/>
        </w:rPr>
        <w:t xml:space="preserve">1560 </w:t>
      </w:r>
      <w:r w:rsidRPr="00681F70">
        <w:rPr>
          <w:rFonts w:ascii="Arial" w:hAnsi="Arial" w:cs="Arial"/>
          <w:sz w:val="24"/>
          <w:szCs w:val="24"/>
        </w:rPr>
        <w:t xml:space="preserve">were submitted and </w:t>
      </w:r>
      <w:r w:rsidRPr="00681F70">
        <w:rPr>
          <w:rFonts w:ascii="Arial" w:hAnsi="Arial" w:cs="Arial"/>
          <w:b/>
          <w:sz w:val="24"/>
          <w:szCs w:val="24"/>
        </w:rPr>
        <w:t>1607</w:t>
      </w:r>
      <w:r w:rsidRPr="00681F70">
        <w:rPr>
          <w:rFonts w:ascii="Arial" w:hAnsi="Arial" w:cs="Arial"/>
          <w:sz w:val="24"/>
          <w:szCs w:val="24"/>
        </w:rPr>
        <w:t xml:space="preserve"> consented.    </w:t>
      </w:r>
    </w:p>
    <w:p w:rsidR="0047390F" w:rsidRPr="00681F70" w:rsidRDefault="0047390F" w:rsidP="00786A76">
      <w:pPr>
        <w:spacing w:after="0" w:line="240" w:lineRule="auto"/>
        <w:ind w:left="426" w:hanging="426"/>
        <w:jc w:val="both"/>
        <w:rPr>
          <w:rFonts w:ascii="Arial" w:hAnsi="Arial" w:cs="Arial"/>
          <w:sz w:val="24"/>
          <w:szCs w:val="24"/>
        </w:rPr>
      </w:pPr>
    </w:p>
    <w:p w:rsidR="0047390F" w:rsidRPr="00681F70" w:rsidRDefault="00EE7244" w:rsidP="00786A76">
      <w:pPr>
        <w:spacing w:after="0" w:line="240" w:lineRule="auto"/>
        <w:ind w:left="426" w:hanging="426"/>
        <w:jc w:val="both"/>
        <w:rPr>
          <w:rFonts w:ascii="Arial" w:hAnsi="Arial" w:cs="Arial"/>
          <w:sz w:val="24"/>
          <w:szCs w:val="24"/>
        </w:rPr>
      </w:pPr>
      <w:r w:rsidRPr="00681F70">
        <w:rPr>
          <w:rFonts w:ascii="Arial" w:hAnsi="Arial" w:cs="Arial"/>
          <w:sz w:val="24"/>
          <w:szCs w:val="24"/>
        </w:rPr>
        <w:t>2.3The city deal housing delivery profile was recently reviewed and updated by Hive independent Land and planning consultants.    The revised profile has been used to set the targets for this monitoring period in terms of unit delivery and performance against these has been positive as illustrated in the table below.</w:t>
      </w:r>
    </w:p>
    <w:p w:rsidR="0047390F" w:rsidRPr="00681F70" w:rsidRDefault="00EE7244" w:rsidP="00786A76">
      <w:pPr>
        <w:spacing w:after="0" w:line="240" w:lineRule="auto"/>
        <w:ind w:left="426" w:hanging="426"/>
        <w:jc w:val="both"/>
        <w:rPr>
          <w:rFonts w:ascii="Arial" w:hAnsi="Arial" w:cs="Arial"/>
          <w:sz w:val="24"/>
          <w:szCs w:val="24"/>
        </w:rPr>
      </w:pPr>
      <w:r w:rsidRPr="00681F70">
        <w:rPr>
          <w:rFonts w:ascii="Arial" w:hAnsi="Arial" w:cs="Arial"/>
          <w:sz w:val="24"/>
          <w:szCs w:val="24"/>
        </w:rPr>
        <w:t xml:space="preserve">  </w:t>
      </w:r>
    </w:p>
    <w:p w:rsidR="0047390F" w:rsidRPr="00681F70" w:rsidRDefault="0047390F" w:rsidP="00786A76">
      <w:pPr>
        <w:spacing w:after="0" w:line="240" w:lineRule="auto"/>
        <w:ind w:left="426" w:hanging="426"/>
        <w:jc w:val="both"/>
        <w:rPr>
          <w:rFonts w:ascii="Arial" w:hAnsi="Arial" w:cs="Arial"/>
          <w:sz w:val="24"/>
          <w:szCs w:val="24"/>
        </w:rPr>
      </w:pPr>
    </w:p>
    <w:p w:rsidR="0047390F" w:rsidRPr="00681F70" w:rsidRDefault="00EE7244" w:rsidP="00786A76">
      <w:pPr>
        <w:spacing w:after="0" w:line="240" w:lineRule="auto"/>
        <w:rPr>
          <w:rFonts w:ascii="Arial" w:hAnsi="Arial" w:cs="Arial"/>
          <w:b/>
          <w:sz w:val="24"/>
          <w:szCs w:val="24"/>
          <w:u w:val="single"/>
        </w:rPr>
      </w:pPr>
      <w:r w:rsidRPr="00681F70">
        <w:rPr>
          <w:rFonts w:ascii="Arial" w:hAnsi="Arial" w:cs="Arial"/>
          <w:b/>
          <w:sz w:val="24"/>
          <w:szCs w:val="24"/>
          <w:u w:val="single"/>
        </w:rPr>
        <w:br w:type="page"/>
      </w:r>
    </w:p>
    <w:p w:rsidR="00786A76" w:rsidRDefault="00786A76" w:rsidP="00786A76">
      <w:pPr>
        <w:spacing w:after="0" w:line="240" w:lineRule="auto"/>
        <w:jc w:val="both"/>
        <w:rPr>
          <w:rFonts w:ascii="Arial" w:hAnsi="Arial" w:cs="Arial"/>
          <w:b/>
          <w:sz w:val="24"/>
          <w:szCs w:val="24"/>
          <w:u w:val="single"/>
        </w:rPr>
      </w:pPr>
    </w:p>
    <w:p w:rsidR="0047390F" w:rsidRPr="00681F70" w:rsidRDefault="00EE7244" w:rsidP="00786A76">
      <w:pPr>
        <w:spacing w:after="0" w:line="240" w:lineRule="auto"/>
        <w:jc w:val="both"/>
        <w:rPr>
          <w:rFonts w:ascii="Arial" w:hAnsi="Arial" w:cs="Arial"/>
          <w:sz w:val="24"/>
          <w:szCs w:val="24"/>
        </w:rPr>
      </w:pPr>
      <w:r w:rsidRPr="00681F70">
        <w:rPr>
          <w:rFonts w:ascii="Arial" w:hAnsi="Arial" w:cs="Arial"/>
          <w:b/>
          <w:sz w:val="24"/>
          <w:szCs w:val="24"/>
          <w:u w:val="single"/>
        </w:rPr>
        <w:t xml:space="preserve">Table 1 Housing – core and supporting outputs </w:t>
      </w:r>
    </w:p>
    <w:p w:rsidR="0047390F" w:rsidRPr="00681F70" w:rsidRDefault="0047390F" w:rsidP="00786A76">
      <w:pPr>
        <w:spacing w:after="0" w:line="240" w:lineRule="auto"/>
        <w:ind w:left="284"/>
        <w:jc w:val="both"/>
        <w:rPr>
          <w:rFonts w:ascii="Arial" w:hAnsi="Arial" w:cs="Arial"/>
          <w:b/>
          <w:sz w:val="24"/>
          <w:szCs w:val="24"/>
          <w:u w:val="single"/>
        </w:rPr>
      </w:pPr>
    </w:p>
    <w:tbl>
      <w:tblPr>
        <w:tblStyle w:val="TableGrid1"/>
        <w:tblW w:w="5000" w:type="pct"/>
        <w:tblLayout w:type="fixed"/>
        <w:tblLook w:val="04A0" w:firstRow="1" w:lastRow="0" w:firstColumn="1" w:lastColumn="0" w:noHBand="0" w:noVBand="1"/>
      </w:tblPr>
      <w:tblGrid>
        <w:gridCol w:w="3681"/>
        <w:gridCol w:w="1843"/>
        <w:gridCol w:w="1701"/>
        <w:gridCol w:w="1791"/>
      </w:tblGrid>
      <w:tr w:rsidR="00C07FE1" w:rsidTr="0047390F">
        <w:tc>
          <w:tcPr>
            <w:tcW w:w="3681" w:type="dxa"/>
          </w:tcPr>
          <w:p w:rsidR="0047390F" w:rsidRPr="00681F70" w:rsidRDefault="00EE7244" w:rsidP="00786A76">
            <w:pPr>
              <w:jc w:val="both"/>
              <w:rPr>
                <w:rFonts w:ascii="Arial" w:hAnsi="Arial" w:cs="Arial"/>
                <w:b/>
                <w:sz w:val="24"/>
                <w:szCs w:val="24"/>
              </w:rPr>
            </w:pPr>
            <w:r w:rsidRPr="00681F70">
              <w:rPr>
                <w:rFonts w:ascii="Arial" w:hAnsi="Arial" w:cs="Arial"/>
                <w:b/>
                <w:sz w:val="24"/>
                <w:szCs w:val="24"/>
              </w:rPr>
              <w:t>Core and supporting outputs</w:t>
            </w:r>
          </w:p>
        </w:tc>
        <w:tc>
          <w:tcPr>
            <w:tcW w:w="1843" w:type="dxa"/>
          </w:tcPr>
          <w:p w:rsidR="0047390F" w:rsidRPr="00681F70" w:rsidRDefault="00EE7244" w:rsidP="00786A76">
            <w:pPr>
              <w:jc w:val="both"/>
              <w:rPr>
                <w:rFonts w:ascii="Arial" w:hAnsi="Arial" w:cs="Arial"/>
                <w:b/>
                <w:sz w:val="24"/>
                <w:szCs w:val="24"/>
              </w:rPr>
            </w:pPr>
            <w:r w:rsidRPr="00681F70">
              <w:rPr>
                <w:rFonts w:ascii="Arial" w:hAnsi="Arial" w:cs="Arial"/>
                <w:b/>
                <w:sz w:val="24"/>
                <w:szCs w:val="24"/>
              </w:rPr>
              <w:t>Target (Apr-Sept 2018)</w:t>
            </w:r>
          </w:p>
          <w:p w:rsidR="0047390F" w:rsidRPr="00681F70" w:rsidRDefault="0047390F" w:rsidP="00786A76">
            <w:pPr>
              <w:jc w:val="both"/>
              <w:rPr>
                <w:rFonts w:ascii="Arial" w:hAnsi="Arial" w:cs="Arial"/>
                <w:b/>
                <w:sz w:val="24"/>
                <w:szCs w:val="24"/>
              </w:rPr>
            </w:pPr>
          </w:p>
        </w:tc>
        <w:tc>
          <w:tcPr>
            <w:tcW w:w="1701" w:type="dxa"/>
          </w:tcPr>
          <w:p w:rsidR="0047390F" w:rsidRPr="00681F70" w:rsidRDefault="00EE7244" w:rsidP="00786A76">
            <w:pPr>
              <w:jc w:val="both"/>
              <w:rPr>
                <w:rFonts w:ascii="Arial" w:hAnsi="Arial" w:cs="Arial"/>
                <w:b/>
                <w:sz w:val="24"/>
                <w:szCs w:val="24"/>
              </w:rPr>
            </w:pPr>
            <w:r w:rsidRPr="00681F70">
              <w:rPr>
                <w:rFonts w:ascii="Arial" w:hAnsi="Arial" w:cs="Arial"/>
                <w:b/>
                <w:sz w:val="24"/>
                <w:szCs w:val="24"/>
              </w:rPr>
              <w:t>Actual (Apr-Sept 2018)</w:t>
            </w:r>
          </w:p>
          <w:p w:rsidR="0047390F" w:rsidRPr="00681F70" w:rsidRDefault="0047390F" w:rsidP="00786A76">
            <w:pPr>
              <w:jc w:val="both"/>
              <w:rPr>
                <w:rFonts w:ascii="Arial" w:hAnsi="Arial" w:cs="Arial"/>
                <w:b/>
                <w:sz w:val="24"/>
                <w:szCs w:val="24"/>
              </w:rPr>
            </w:pPr>
          </w:p>
        </w:tc>
        <w:tc>
          <w:tcPr>
            <w:tcW w:w="1791" w:type="dxa"/>
          </w:tcPr>
          <w:p w:rsidR="0047390F" w:rsidRPr="00681F70" w:rsidRDefault="00EE7244" w:rsidP="00786A76">
            <w:pPr>
              <w:jc w:val="both"/>
              <w:rPr>
                <w:rFonts w:ascii="Arial" w:hAnsi="Arial" w:cs="Arial"/>
                <w:b/>
                <w:sz w:val="24"/>
                <w:szCs w:val="24"/>
              </w:rPr>
            </w:pPr>
            <w:r w:rsidRPr="00681F70">
              <w:rPr>
                <w:rFonts w:ascii="Arial" w:hAnsi="Arial" w:cs="Arial"/>
                <w:b/>
                <w:sz w:val="24"/>
                <w:szCs w:val="24"/>
              </w:rPr>
              <w:t>Total to date</w:t>
            </w:r>
          </w:p>
          <w:p w:rsidR="0047390F" w:rsidRPr="00681F70" w:rsidRDefault="0047390F" w:rsidP="00786A76">
            <w:pPr>
              <w:jc w:val="both"/>
              <w:rPr>
                <w:rFonts w:ascii="Arial" w:hAnsi="Arial" w:cs="Arial"/>
                <w:b/>
                <w:sz w:val="24"/>
                <w:szCs w:val="24"/>
              </w:rPr>
            </w:pPr>
          </w:p>
          <w:p w:rsidR="0047390F" w:rsidRPr="00681F70" w:rsidRDefault="0047390F" w:rsidP="00786A76">
            <w:pPr>
              <w:jc w:val="both"/>
              <w:rPr>
                <w:rFonts w:ascii="Arial" w:hAnsi="Arial" w:cs="Arial"/>
                <w:b/>
                <w:sz w:val="24"/>
                <w:szCs w:val="24"/>
              </w:rPr>
            </w:pPr>
          </w:p>
        </w:tc>
      </w:tr>
      <w:tr w:rsidR="00C07FE1" w:rsidTr="0047390F">
        <w:tc>
          <w:tcPr>
            <w:tcW w:w="3681" w:type="dxa"/>
          </w:tcPr>
          <w:p w:rsidR="0047390F" w:rsidRPr="00681F70" w:rsidRDefault="00EE7244" w:rsidP="00786A76">
            <w:pPr>
              <w:jc w:val="both"/>
              <w:rPr>
                <w:rFonts w:ascii="Arial" w:hAnsi="Arial" w:cs="Arial"/>
                <w:sz w:val="24"/>
                <w:szCs w:val="24"/>
              </w:rPr>
            </w:pPr>
            <w:r w:rsidRPr="00681F70">
              <w:rPr>
                <w:rFonts w:ascii="Arial" w:hAnsi="Arial" w:cs="Arial"/>
                <w:sz w:val="24"/>
                <w:szCs w:val="24"/>
              </w:rPr>
              <w:t xml:space="preserve">Total number of Housing units completed </w:t>
            </w:r>
          </w:p>
          <w:p w:rsidR="0047390F" w:rsidRPr="00681F70" w:rsidRDefault="0047390F" w:rsidP="00786A76">
            <w:pPr>
              <w:jc w:val="both"/>
              <w:rPr>
                <w:rFonts w:ascii="Arial" w:hAnsi="Arial" w:cs="Arial"/>
                <w:sz w:val="24"/>
                <w:szCs w:val="24"/>
              </w:rPr>
            </w:pPr>
          </w:p>
        </w:tc>
        <w:tc>
          <w:tcPr>
            <w:tcW w:w="1843" w:type="dxa"/>
          </w:tcPr>
          <w:p w:rsidR="0047390F" w:rsidRPr="00681F70" w:rsidRDefault="00EE7244" w:rsidP="00786A76">
            <w:pPr>
              <w:tabs>
                <w:tab w:val="left" w:pos="885"/>
              </w:tabs>
              <w:jc w:val="both"/>
              <w:rPr>
                <w:rFonts w:ascii="Arial" w:hAnsi="Arial" w:cs="Arial"/>
                <w:sz w:val="24"/>
                <w:szCs w:val="24"/>
              </w:rPr>
            </w:pPr>
            <w:r w:rsidRPr="00681F70">
              <w:rPr>
                <w:rFonts w:ascii="Arial" w:hAnsi="Arial" w:cs="Arial"/>
                <w:sz w:val="24"/>
                <w:szCs w:val="24"/>
              </w:rPr>
              <w:t>494</w:t>
            </w:r>
          </w:p>
        </w:tc>
        <w:tc>
          <w:tcPr>
            <w:tcW w:w="1701" w:type="dxa"/>
          </w:tcPr>
          <w:p w:rsidR="0047390F" w:rsidRPr="00681F70" w:rsidRDefault="00EE7244" w:rsidP="00786A76">
            <w:pPr>
              <w:tabs>
                <w:tab w:val="left" w:pos="885"/>
              </w:tabs>
              <w:jc w:val="both"/>
              <w:rPr>
                <w:rFonts w:ascii="Arial" w:hAnsi="Arial" w:cs="Arial"/>
                <w:sz w:val="24"/>
                <w:szCs w:val="24"/>
              </w:rPr>
            </w:pPr>
            <w:r w:rsidRPr="00681F70">
              <w:rPr>
                <w:rFonts w:ascii="Arial" w:hAnsi="Arial" w:cs="Arial"/>
                <w:sz w:val="24"/>
                <w:szCs w:val="24"/>
              </w:rPr>
              <w:t>540</w:t>
            </w:r>
          </w:p>
          <w:p w:rsidR="0047390F" w:rsidRPr="00681F70" w:rsidRDefault="0047390F" w:rsidP="00786A76">
            <w:pPr>
              <w:tabs>
                <w:tab w:val="left" w:pos="885"/>
              </w:tabs>
              <w:jc w:val="both"/>
              <w:rPr>
                <w:rFonts w:ascii="Arial" w:hAnsi="Arial" w:cs="Arial"/>
                <w:sz w:val="24"/>
                <w:szCs w:val="24"/>
              </w:rPr>
            </w:pPr>
          </w:p>
          <w:p w:rsidR="0047390F" w:rsidRPr="00681F70" w:rsidRDefault="0047390F" w:rsidP="00786A76">
            <w:pPr>
              <w:tabs>
                <w:tab w:val="left" w:pos="885"/>
              </w:tabs>
              <w:jc w:val="both"/>
              <w:rPr>
                <w:rFonts w:ascii="Arial" w:hAnsi="Arial" w:cs="Arial"/>
                <w:sz w:val="24"/>
                <w:szCs w:val="24"/>
              </w:rPr>
            </w:pPr>
          </w:p>
        </w:tc>
        <w:tc>
          <w:tcPr>
            <w:tcW w:w="1791" w:type="dxa"/>
          </w:tcPr>
          <w:p w:rsidR="0047390F" w:rsidRPr="00681F70" w:rsidRDefault="00EE7244" w:rsidP="00786A76">
            <w:pPr>
              <w:tabs>
                <w:tab w:val="left" w:pos="885"/>
              </w:tabs>
              <w:jc w:val="both"/>
              <w:rPr>
                <w:rFonts w:ascii="Arial" w:hAnsi="Arial" w:cs="Arial"/>
                <w:sz w:val="24"/>
                <w:szCs w:val="24"/>
              </w:rPr>
            </w:pPr>
            <w:r w:rsidRPr="00681F70">
              <w:rPr>
                <w:rFonts w:ascii="Arial" w:hAnsi="Arial" w:cs="Arial"/>
                <w:sz w:val="24"/>
                <w:szCs w:val="24"/>
              </w:rPr>
              <w:t>4242</w:t>
            </w:r>
          </w:p>
        </w:tc>
      </w:tr>
      <w:tr w:rsidR="00C07FE1" w:rsidTr="0047390F">
        <w:tc>
          <w:tcPr>
            <w:tcW w:w="3681" w:type="dxa"/>
          </w:tcPr>
          <w:p w:rsidR="0047390F" w:rsidRPr="00681F70" w:rsidRDefault="00EE7244" w:rsidP="00786A76">
            <w:pPr>
              <w:jc w:val="both"/>
              <w:rPr>
                <w:rFonts w:ascii="Arial" w:hAnsi="Arial" w:cs="Arial"/>
                <w:sz w:val="24"/>
                <w:szCs w:val="24"/>
              </w:rPr>
            </w:pPr>
            <w:r w:rsidRPr="00681F70">
              <w:rPr>
                <w:rFonts w:ascii="Arial" w:hAnsi="Arial" w:cs="Arial"/>
                <w:sz w:val="24"/>
                <w:szCs w:val="24"/>
              </w:rPr>
              <w:t xml:space="preserve">Total number of housing units submitted for planning </w:t>
            </w:r>
          </w:p>
        </w:tc>
        <w:tc>
          <w:tcPr>
            <w:tcW w:w="1843" w:type="dxa"/>
          </w:tcPr>
          <w:p w:rsidR="0047390F" w:rsidRPr="00681F70" w:rsidRDefault="00EE7244" w:rsidP="00786A76">
            <w:pPr>
              <w:tabs>
                <w:tab w:val="left" w:pos="885"/>
              </w:tabs>
              <w:jc w:val="both"/>
              <w:rPr>
                <w:rFonts w:ascii="Arial" w:hAnsi="Arial" w:cs="Arial"/>
                <w:sz w:val="24"/>
                <w:szCs w:val="24"/>
              </w:rPr>
            </w:pPr>
            <w:r w:rsidRPr="00681F70">
              <w:rPr>
                <w:rFonts w:ascii="Arial" w:hAnsi="Arial" w:cs="Arial"/>
                <w:sz w:val="24"/>
                <w:szCs w:val="24"/>
              </w:rPr>
              <w:t>-</w:t>
            </w:r>
          </w:p>
        </w:tc>
        <w:tc>
          <w:tcPr>
            <w:tcW w:w="1701" w:type="dxa"/>
          </w:tcPr>
          <w:p w:rsidR="0047390F" w:rsidRPr="00681F70" w:rsidRDefault="00EE7244" w:rsidP="00786A76">
            <w:pPr>
              <w:tabs>
                <w:tab w:val="left" w:pos="885"/>
              </w:tabs>
              <w:jc w:val="both"/>
              <w:rPr>
                <w:rFonts w:ascii="Arial" w:hAnsi="Arial" w:cs="Arial"/>
                <w:sz w:val="24"/>
                <w:szCs w:val="24"/>
              </w:rPr>
            </w:pPr>
            <w:r w:rsidRPr="00681F70">
              <w:rPr>
                <w:rFonts w:ascii="Arial" w:hAnsi="Arial" w:cs="Arial"/>
                <w:sz w:val="24"/>
                <w:szCs w:val="24"/>
              </w:rPr>
              <w:t>1560</w:t>
            </w:r>
          </w:p>
        </w:tc>
        <w:tc>
          <w:tcPr>
            <w:tcW w:w="1791" w:type="dxa"/>
          </w:tcPr>
          <w:p w:rsidR="0047390F" w:rsidRPr="00681F70" w:rsidRDefault="00EE7244" w:rsidP="00786A76">
            <w:pPr>
              <w:tabs>
                <w:tab w:val="left" w:pos="885"/>
              </w:tabs>
              <w:jc w:val="both"/>
              <w:rPr>
                <w:rFonts w:ascii="Arial" w:hAnsi="Arial" w:cs="Arial"/>
                <w:sz w:val="24"/>
                <w:szCs w:val="24"/>
              </w:rPr>
            </w:pPr>
            <w:r w:rsidRPr="00681F70">
              <w:rPr>
                <w:rFonts w:ascii="Arial" w:hAnsi="Arial" w:cs="Arial"/>
                <w:sz w:val="24"/>
                <w:szCs w:val="24"/>
              </w:rPr>
              <w:t>14570</w:t>
            </w:r>
          </w:p>
        </w:tc>
      </w:tr>
      <w:tr w:rsidR="00C07FE1" w:rsidTr="0047390F">
        <w:tc>
          <w:tcPr>
            <w:tcW w:w="3681" w:type="dxa"/>
          </w:tcPr>
          <w:p w:rsidR="0047390F" w:rsidRPr="00681F70" w:rsidRDefault="00EE7244" w:rsidP="00786A76">
            <w:pPr>
              <w:jc w:val="both"/>
              <w:rPr>
                <w:rFonts w:ascii="Arial" w:hAnsi="Arial" w:cs="Arial"/>
                <w:sz w:val="24"/>
                <w:szCs w:val="24"/>
              </w:rPr>
            </w:pPr>
            <w:r w:rsidRPr="00681F70">
              <w:rPr>
                <w:rFonts w:ascii="Arial" w:hAnsi="Arial" w:cs="Arial"/>
                <w:sz w:val="24"/>
                <w:szCs w:val="24"/>
              </w:rPr>
              <w:t>Total number of Housing units consented for planning *</w:t>
            </w:r>
          </w:p>
        </w:tc>
        <w:tc>
          <w:tcPr>
            <w:tcW w:w="1843" w:type="dxa"/>
          </w:tcPr>
          <w:p w:rsidR="0047390F" w:rsidRPr="00681F70" w:rsidRDefault="00EE7244" w:rsidP="00786A76">
            <w:pPr>
              <w:jc w:val="both"/>
              <w:rPr>
                <w:rFonts w:ascii="Arial" w:hAnsi="Arial" w:cs="Arial"/>
                <w:sz w:val="24"/>
                <w:szCs w:val="24"/>
              </w:rPr>
            </w:pPr>
            <w:r w:rsidRPr="00681F70">
              <w:rPr>
                <w:rFonts w:ascii="Arial" w:hAnsi="Arial" w:cs="Arial"/>
                <w:sz w:val="24"/>
                <w:szCs w:val="24"/>
              </w:rPr>
              <w:t>-</w:t>
            </w:r>
          </w:p>
        </w:tc>
        <w:tc>
          <w:tcPr>
            <w:tcW w:w="1701" w:type="dxa"/>
          </w:tcPr>
          <w:p w:rsidR="0047390F" w:rsidRPr="00681F70" w:rsidRDefault="00EE7244" w:rsidP="00786A76">
            <w:pPr>
              <w:jc w:val="both"/>
              <w:rPr>
                <w:rFonts w:ascii="Arial" w:hAnsi="Arial" w:cs="Arial"/>
                <w:sz w:val="24"/>
                <w:szCs w:val="24"/>
              </w:rPr>
            </w:pPr>
            <w:r w:rsidRPr="00681F70">
              <w:rPr>
                <w:rFonts w:ascii="Arial" w:hAnsi="Arial" w:cs="Arial"/>
                <w:sz w:val="24"/>
                <w:szCs w:val="24"/>
              </w:rPr>
              <w:t>1607</w:t>
            </w:r>
          </w:p>
        </w:tc>
        <w:tc>
          <w:tcPr>
            <w:tcW w:w="1791" w:type="dxa"/>
          </w:tcPr>
          <w:p w:rsidR="0047390F" w:rsidRPr="00681F70" w:rsidRDefault="00EE7244" w:rsidP="00786A76">
            <w:pPr>
              <w:jc w:val="both"/>
              <w:rPr>
                <w:rFonts w:ascii="Arial" w:hAnsi="Arial" w:cs="Arial"/>
                <w:sz w:val="24"/>
                <w:szCs w:val="24"/>
              </w:rPr>
            </w:pPr>
            <w:r w:rsidRPr="00681F70">
              <w:rPr>
                <w:rFonts w:ascii="Arial" w:hAnsi="Arial" w:cs="Arial"/>
                <w:sz w:val="24"/>
                <w:szCs w:val="24"/>
              </w:rPr>
              <w:t>14136</w:t>
            </w:r>
          </w:p>
        </w:tc>
      </w:tr>
      <w:tr w:rsidR="00C07FE1" w:rsidTr="0047390F">
        <w:tc>
          <w:tcPr>
            <w:tcW w:w="3681" w:type="dxa"/>
          </w:tcPr>
          <w:p w:rsidR="0047390F" w:rsidRPr="00681F70" w:rsidRDefault="00EE7244" w:rsidP="00786A76">
            <w:pPr>
              <w:jc w:val="both"/>
              <w:rPr>
                <w:rFonts w:ascii="Arial" w:hAnsi="Arial" w:cs="Arial"/>
                <w:sz w:val="24"/>
                <w:szCs w:val="24"/>
              </w:rPr>
            </w:pPr>
            <w:r w:rsidRPr="00681F70">
              <w:rPr>
                <w:rFonts w:ascii="Arial" w:hAnsi="Arial" w:cs="Arial"/>
                <w:sz w:val="24"/>
                <w:szCs w:val="24"/>
              </w:rPr>
              <w:t>sites at which construction is actively taking place</w:t>
            </w:r>
          </w:p>
        </w:tc>
        <w:tc>
          <w:tcPr>
            <w:tcW w:w="1843" w:type="dxa"/>
          </w:tcPr>
          <w:p w:rsidR="0047390F" w:rsidRPr="00681F70" w:rsidRDefault="00EE7244" w:rsidP="00786A76">
            <w:pPr>
              <w:tabs>
                <w:tab w:val="left" w:pos="885"/>
              </w:tabs>
              <w:jc w:val="both"/>
              <w:rPr>
                <w:rFonts w:ascii="Arial" w:hAnsi="Arial" w:cs="Arial"/>
                <w:sz w:val="24"/>
                <w:szCs w:val="24"/>
              </w:rPr>
            </w:pPr>
            <w:r w:rsidRPr="00681F70">
              <w:rPr>
                <w:rFonts w:ascii="Arial" w:hAnsi="Arial" w:cs="Arial"/>
                <w:sz w:val="24"/>
                <w:szCs w:val="24"/>
              </w:rPr>
              <w:t>-</w:t>
            </w:r>
          </w:p>
          <w:p w:rsidR="0047390F" w:rsidRPr="00681F70" w:rsidRDefault="0047390F" w:rsidP="00786A76">
            <w:pPr>
              <w:tabs>
                <w:tab w:val="left" w:pos="885"/>
              </w:tabs>
              <w:jc w:val="both"/>
              <w:rPr>
                <w:rFonts w:ascii="Arial" w:hAnsi="Arial" w:cs="Arial"/>
                <w:sz w:val="24"/>
                <w:szCs w:val="24"/>
              </w:rPr>
            </w:pPr>
          </w:p>
        </w:tc>
        <w:tc>
          <w:tcPr>
            <w:tcW w:w="1701" w:type="dxa"/>
          </w:tcPr>
          <w:p w:rsidR="0047390F" w:rsidRPr="00681F70" w:rsidRDefault="00EE7244" w:rsidP="00786A76">
            <w:pPr>
              <w:tabs>
                <w:tab w:val="left" w:pos="885"/>
              </w:tabs>
              <w:jc w:val="both"/>
              <w:rPr>
                <w:rFonts w:ascii="Arial" w:hAnsi="Arial" w:cs="Arial"/>
                <w:sz w:val="24"/>
                <w:szCs w:val="24"/>
              </w:rPr>
            </w:pPr>
            <w:r w:rsidRPr="00681F70">
              <w:rPr>
                <w:rFonts w:ascii="Arial" w:hAnsi="Arial" w:cs="Arial"/>
                <w:sz w:val="24"/>
                <w:szCs w:val="24"/>
              </w:rPr>
              <w:t>-</w:t>
            </w:r>
          </w:p>
        </w:tc>
        <w:tc>
          <w:tcPr>
            <w:tcW w:w="1791" w:type="dxa"/>
          </w:tcPr>
          <w:p w:rsidR="0047390F" w:rsidRPr="00681F70" w:rsidRDefault="00EE7244" w:rsidP="00786A76">
            <w:pPr>
              <w:tabs>
                <w:tab w:val="left" w:pos="885"/>
              </w:tabs>
              <w:jc w:val="both"/>
              <w:rPr>
                <w:rFonts w:ascii="Arial" w:hAnsi="Arial" w:cs="Arial"/>
                <w:sz w:val="24"/>
                <w:szCs w:val="24"/>
              </w:rPr>
            </w:pPr>
            <w:r w:rsidRPr="00681F70">
              <w:rPr>
                <w:rFonts w:ascii="Arial" w:hAnsi="Arial" w:cs="Arial"/>
                <w:sz w:val="24"/>
                <w:szCs w:val="24"/>
              </w:rPr>
              <w:t>31</w:t>
            </w:r>
          </w:p>
        </w:tc>
      </w:tr>
    </w:tbl>
    <w:p w:rsidR="0047390F" w:rsidRPr="00681F70" w:rsidRDefault="00EE7244" w:rsidP="00786A76">
      <w:pPr>
        <w:spacing w:after="0" w:line="240" w:lineRule="auto"/>
        <w:ind w:left="360"/>
        <w:jc w:val="both"/>
        <w:rPr>
          <w:rFonts w:ascii="Arial" w:hAnsi="Arial" w:cs="Arial"/>
          <w:sz w:val="24"/>
          <w:szCs w:val="24"/>
        </w:rPr>
      </w:pPr>
      <w:r w:rsidRPr="00681F70">
        <w:rPr>
          <w:rFonts w:ascii="Arial" w:hAnsi="Arial" w:cs="Arial"/>
          <w:sz w:val="24"/>
          <w:szCs w:val="24"/>
        </w:rPr>
        <w:t>*</w:t>
      </w:r>
      <w:r w:rsidRPr="00681F70">
        <w:rPr>
          <w:rFonts w:ascii="Arial" w:hAnsi="Arial" w:cs="Arial"/>
          <w:sz w:val="24"/>
          <w:szCs w:val="24"/>
        </w:rPr>
        <w:tab/>
        <w:t xml:space="preserve">Includes Outline and Full Planning consent </w:t>
      </w:r>
    </w:p>
    <w:p w:rsidR="0047390F" w:rsidRPr="00681F70" w:rsidRDefault="00EE7244" w:rsidP="00786A76">
      <w:pPr>
        <w:spacing w:after="0" w:line="240" w:lineRule="auto"/>
        <w:ind w:left="360"/>
        <w:jc w:val="both"/>
        <w:rPr>
          <w:rFonts w:ascii="Arial" w:hAnsi="Arial" w:cs="Arial"/>
          <w:sz w:val="24"/>
          <w:szCs w:val="24"/>
        </w:rPr>
      </w:pPr>
      <w:r w:rsidRPr="00681F70">
        <w:rPr>
          <w:rFonts w:ascii="Arial" w:hAnsi="Arial" w:cs="Arial"/>
          <w:sz w:val="24"/>
          <w:szCs w:val="24"/>
        </w:rPr>
        <w:t>Targets have been informed by the Hive housing trajectory 2018</w:t>
      </w:r>
    </w:p>
    <w:p w:rsidR="0047390F" w:rsidRPr="00681F70" w:rsidRDefault="0047390F" w:rsidP="00786A76">
      <w:pPr>
        <w:spacing w:after="0" w:line="240" w:lineRule="auto"/>
        <w:jc w:val="both"/>
        <w:rPr>
          <w:rFonts w:ascii="Arial" w:hAnsi="Arial" w:cs="Arial"/>
          <w:sz w:val="24"/>
          <w:szCs w:val="24"/>
        </w:rPr>
      </w:pPr>
    </w:p>
    <w:p w:rsidR="0047390F" w:rsidRPr="00681F70" w:rsidRDefault="00EE7244" w:rsidP="00786A76">
      <w:pPr>
        <w:spacing w:after="0" w:line="240" w:lineRule="auto"/>
        <w:jc w:val="both"/>
        <w:rPr>
          <w:rFonts w:ascii="Arial" w:hAnsi="Arial" w:cs="Arial"/>
          <w:b/>
          <w:sz w:val="24"/>
          <w:szCs w:val="24"/>
        </w:rPr>
      </w:pPr>
      <w:r w:rsidRPr="00681F70">
        <w:rPr>
          <w:rFonts w:ascii="Arial" w:hAnsi="Arial" w:cs="Arial"/>
          <w:b/>
          <w:sz w:val="24"/>
          <w:szCs w:val="24"/>
        </w:rPr>
        <w:t>How we are progressing housing delivery across City Deal Sites</w:t>
      </w:r>
      <w:r w:rsidR="00786A76">
        <w:rPr>
          <w:rFonts w:ascii="Arial" w:hAnsi="Arial" w:cs="Arial"/>
          <w:b/>
          <w:sz w:val="24"/>
          <w:szCs w:val="24"/>
        </w:rPr>
        <w:t xml:space="preserve"> (A</w:t>
      </w:r>
      <w:r>
        <w:rPr>
          <w:rFonts w:ascii="Arial" w:hAnsi="Arial" w:cs="Arial"/>
          <w:b/>
          <w:sz w:val="24"/>
          <w:szCs w:val="24"/>
        </w:rPr>
        <w:t>ppendix 2)</w:t>
      </w:r>
      <w:r w:rsidRPr="00681F70">
        <w:rPr>
          <w:rFonts w:ascii="Arial" w:hAnsi="Arial" w:cs="Arial"/>
          <w:b/>
          <w:sz w:val="24"/>
          <w:szCs w:val="24"/>
        </w:rPr>
        <w:t>:</w:t>
      </w:r>
    </w:p>
    <w:p w:rsidR="0047390F" w:rsidRPr="00681F70" w:rsidRDefault="0047390F" w:rsidP="00786A76">
      <w:pPr>
        <w:spacing w:after="0" w:line="240" w:lineRule="auto"/>
        <w:jc w:val="both"/>
        <w:rPr>
          <w:rFonts w:ascii="Arial" w:hAnsi="Arial" w:cs="Arial"/>
          <w:sz w:val="24"/>
          <w:szCs w:val="24"/>
        </w:rPr>
      </w:pPr>
    </w:p>
    <w:p w:rsidR="0047390F" w:rsidRPr="00681F70" w:rsidRDefault="00EE7244" w:rsidP="00786A76">
      <w:pPr>
        <w:tabs>
          <w:tab w:val="left" w:pos="567"/>
        </w:tabs>
        <w:spacing w:after="0" w:line="240" w:lineRule="auto"/>
        <w:ind w:left="567" w:hanging="567"/>
        <w:jc w:val="both"/>
        <w:rPr>
          <w:rFonts w:ascii="Arial" w:hAnsi="Arial" w:cs="Arial"/>
          <w:sz w:val="24"/>
          <w:szCs w:val="24"/>
        </w:rPr>
      </w:pPr>
      <w:r w:rsidRPr="00681F70">
        <w:rPr>
          <w:rFonts w:ascii="Arial" w:hAnsi="Arial" w:cs="Arial"/>
          <w:sz w:val="24"/>
          <w:szCs w:val="24"/>
        </w:rPr>
        <w:t xml:space="preserve">2.4  The Development Sites Delivery Group continue to take a strategic role in progressing delivery on City Deal housing sites.  Priorities </w:t>
      </w:r>
      <w:r>
        <w:rPr>
          <w:rFonts w:ascii="Arial" w:hAnsi="Arial" w:cs="Arial"/>
          <w:sz w:val="24"/>
          <w:szCs w:val="24"/>
        </w:rPr>
        <w:t>for</w:t>
      </w:r>
      <w:r w:rsidRPr="00681F70">
        <w:rPr>
          <w:rFonts w:ascii="Arial" w:hAnsi="Arial" w:cs="Arial"/>
          <w:sz w:val="24"/>
          <w:szCs w:val="24"/>
        </w:rPr>
        <w:t xml:space="preserve"> the </w:t>
      </w:r>
      <w:r>
        <w:rPr>
          <w:rFonts w:ascii="Arial" w:hAnsi="Arial" w:cs="Arial"/>
          <w:sz w:val="24"/>
          <w:szCs w:val="24"/>
        </w:rPr>
        <w:t>G</w:t>
      </w:r>
      <w:r w:rsidRPr="00681F70">
        <w:rPr>
          <w:rFonts w:ascii="Arial" w:hAnsi="Arial" w:cs="Arial"/>
          <w:sz w:val="24"/>
          <w:szCs w:val="24"/>
        </w:rPr>
        <w:t xml:space="preserve">roup include ensuring that the housing forecasts and performance of sites is kept under review and issues are identified and addressed wherever possible through collaborative action. Support for significant and complex sites is a priority, with the focus of activity continuing on Pickerings Farm, Moss Side Test Track and Cuerden in South Ribble, and North West Preston Strategic area and the former Whittingham Hospital in Preston.  A recent review of housing performance by Hive Land and Planning consultants identified further need to engage with developers and raise awareness of City Deal across the area and this will be an increasing focus for the </w:t>
      </w:r>
      <w:r>
        <w:rPr>
          <w:rFonts w:ascii="Arial" w:hAnsi="Arial" w:cs="Arial"/>
          <w:sz w:val="24"/>
          <w:szCs w:val="24"/>
        </w:rPr>
        <w:t>G</w:t>
      </w:r>
      <w:r w:rsidRPr="00681F70">
        <w:rPr>
          <w:rFonts w:ascii="Arial" w:hAnsi="Arial" w:cs="Arial"/>
          <w:sz w:val="24"/>
          <w:szCs w:val="24"/>
        </w:rPr>
        <w:t>roup going forward.  Individual site progress and performance i</w:t>
      </w:r>
      <w:r w:rsidR="00786A76">
        <w:rPr>
          <w:rFonts w:ascii="Arial" w:hAnsi="Arial" w:cs="Arial"/>
          <w:sz w:val="24"/>
          <w:szCs w:val="24"/>
        </w:rPr>
        <w:t>s considered in more detail in A</w:t>
      </w:r>
      <w:r w:rsidRPr="00681F70">
        <w:rPr>
          <w:rFonts w:ascii="Arial" w:hAnsi="Arial" w:cs="Arial"/>
          <w:sz w:val="24"/>
          <w:szCs w:val="24"/>
        </w:rPr>
        <w:t>ppendix 2.</w:t>
      </w:r>
    </w:p>
    <w:p w:rsidR="0047390F" w:rsidRPr="00681F70" w:rsidRDefault="0047390F" w:rsidP="00786A76">
      <w:pPr>
        <w:spacing w:after="0" w:line="240" w:lineRule="auto"/>
        <w:jc w:val="both"/>
        <w:rPr>
          <w:rFonts w:ascii="Arial" w:hAnsi="Arial" w:cs="Arial"/>
          <w:sz w:val="24"/>
          <w:szCs w:val="24"/>
        </w:rPr>
      </w:pPr>
    </w:p>
    <w:p w:rsidR="0047390F" w:rsidRPr="00681F70" w:rsidRDefault="00EE7244" w:rsidP="00786A76">
      <w:pPr>
        <w:spacing w:after="0" w:line="240" w:lineRule="auto"/>
        <w:ind w:left="567" w:hanging="567"/>
        <w:jc w:val="both"/>
        <w:rPr>
          <w:rFonts w:ascii="Arial" w:hAnsi="Arial" w:cs="Arial"/>
          <w:sz w:val="24"/>
          <w:szCs w:val="24"/>
        </w:rPr>
      </w:pPr>
      <w:r w:rsidRPr="00681F70">
        <w:rPr>
          <w:rFonts w:ascii="Arial" w:hAnsi="Arial" w:cs="Arial"/>
          <w:sz w:val="24"/>
          <w:szCs w:val="24"/>
        </w:rPr>
        <w:t xml:space="preserve">2.5   Focussing upon the key Homes England sites, progress has been made against the following key milestones in 2017/18: </w:t>
      </w:r>
    </w:p>
    <w:p w:rsidR="0047390F" w:rsidRPr="00681F70" w:rsidRDefault="0047390F" w:rsidP="00786A76">
      <w:pPr>
        <w:spacing w:after="0" w:line="240" w:lineRule="auto"/>
        <w:jc w:val="both"/>
        <w:rPr>
          <w:rFonts w:ascii="Arial" w:hAnsi="Arial" w:cs="Arial"/>
          <w:sz w:val="24"/>
          <w:szCs w:val="24"/>
        </w:rPr>
      </w:pPr>
    </w:p>
    <w:p w:rsidR="0047390F" w:rsidRPr="00681F70" w:rsidRDefault="00EE7244" w:rsidP="00786A76">
      <w:pPr>
        <w:spacing w:after="0" w:line="240" w:lineRule="auto"/>
        <w:rPr>
          <w:rFonts w:ascii="Arial" w:hAnsi="Arial" w:cs="Arial"/>
          <w:b/>
          <w:sz w:val="24"/>
          <w:szCs w:val="24"/>
          <w:u w:val="single"/>
        </w:rPr>
      </w:pPr>
      <w:r w:rsidRPr="00681F70">
        <w:rPr>
          <w:rFonts w:ascii="Arial" w:hAnsi="Arial" w:cs="Arial"/>
          <w:b/>
          <w:sz w:val="24"/>
          <w:szCs w:val="24"/>
          <w:u w:val="single"/>
        </w:rPr>
        <w:br w:type="page"/>
      </w:r>
    </w:p>
    <w:p w:rsidR="00786A76" w:rsidRDefault="00786A76" w:rsidP="00786A76">
      <w:pPr>
        <w:spacing w:after="0" w:line="240" w:lineRule="auto"/>
        <w:jc w:val="both"/>
        <w:rPr>
          <w:rFonts w:ascii="Arial" w:hAnsi="Arial" w:cs="Arial"/>
          <w:b/>
          <w:sz w:val="24"/>
          <w:szCs w:val="24"/>
          <w:u w:val="single"/>
        </w:rPr>
      </w:pPr>
    </w:p>
    <w:p w:rsidR="0047390F" w:rsidRPr="00681F70" w:rsidRDefault="00EE7244" w:rsidP="00786A76">
      <w:pPr>
        <w:spacing w:after="0" w:line="240" w:lineRule="auto"/>
        <w:jc w:val="both"/>
        <w:rPr>
          <w:rFonts w:ascii="Arial" w:hAnsi="Arial" w:cs="Arial"/>
          <w:b/>
          <w:sz w:val="24"/>
          <w:szCs w:val="24"/>
          <w:u w:val="single"/>
        </w:rPr>
      </w:pPr>
      <w:r w:rsidRPr="00681F70">
        <w:rPr>
          <w:rFonts w:ascii="Arial" w:hAnsi="Arial" w:cs="Arial"/>
          <w:b/>
          <w:sz w:val="24"/>
          <w:szCs w:val="24"/>
          <w:u w:val="single"/>
        </w:rPr>
        <w:t>Table 2: Outputs on Homes England sites</w:t>
      </w:r>
    </w:p>
    <w:p w:rsidR="0047390F" w:rsidRPr="00681F70" w:rsidRDefault="0047390F" w:rsidP="00786A76">
      <w:pPr>
        <w:spacing w:after="0" w:line="240" w:lineRule="auto"/>
        <w:rPr>
          <w:rFonts w:ascii="Arial" w:hAnsi="Arial" w:cs="Arial"/>
          <w:sz w:val="20"/>
          <w:szCs w:val="20"/>
        </w:rPr>
      </w:pPr>
    </w:p>
    <w:tbl>
      <w:tblPr>
        <w:tblW w:w="5000" w:type="pct"/>
        <w:tblCellMar>
          <w:left w:w="0" w:type="dxa"/>
          <w:right w:w="0" w:type="dxa"/>
        </w:tblCellMar>
        <w:tblLook w:val="04A0" w:firstRow="1" w:lastRow="0" w:firstColumn="1" w:lastColumn="0" w:noHBand="0" w:noVBand="1"/>
      </w:tblPr>
      <w:tblGrid>
        <w:gridCol w:w="3002"/>
        <w:gridCol w:w="3002"/>
        <w:gridCol w:w="3002"/>
      </w:tblGrid>
      <w:tr w:rsidR="00C07FE1" w:rsidTr="0047390F">
        <w:tc>
          <w:tcPr>
            <w:tcW w:w="2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7390F" w:rsidRPr="00681F70" w:rsidRDefault="00EE7244" w:rsidP="00786A76">
            <w:pPr>
              <w:spacing w:after="0" w:line="240" w:lineRule="auto"/>
              <w:rPr>
                <w:rFonts w:ascii="Arial" w:hAnsi="Arial" w:cs="Arial"/>
                <w:b/>
                <w:bCs/>
                <w:sz w:val="24"/>
                <w:szCs w:val="24"/>
              </w:rPr>
            </w:pPr>
            <w:r w:rsidRPr="00681F70">
              <w:rPr>
                <w:rFonts w:ascii="Arial" w:hAnsi="Arial" w:cs="Arial"/>
                <w:b/>
                <w:bCs/>
                <w:sz w:val="24"/>
                <w:szCs w:val="24"/>
              </w:rPr>
              <w:t xml:space="preserve">OUTPUT </w:t>
            </w:r>
          </w:p>
        </w:tc>
        <w:tc>
          <w:tcPr>
            <w:tcW w:w="2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7390F" w:rsidRPr="00681F70" w:rsidRDefault="00EE7244" w:rsidP="00786A76">
            <w:pPr>
              <w:spacing w:after="0" w:line="240" w:lineRule="auto"/>
              <w:rPr>
                <w:rFonts w:ascii="Arial" w:hAnsi="Arial" w:cs="Arial"/>
                <w:b/>
                <w:bCs/>
                <w:sz w:val="24"/>
                <w:szCs w:val="24"/>
              </w:rPr>
            </w:pPr>
            <w:r w:rsidRPr="00681F70">
              <w:rPr>
                <w:rFonts w:ascii="Arial" w:hAnsi="Arial" w:cs="Arial"/>
                <w:b/>
                <w:bCs/>
                <w:sz w:val="24"/>
                <w:szCs w:val="24"/>
              </w:rPr>
              <w:t>2018/19 Forecast</w:t>
            </w:r>
          </w:p>
        </w:tc>
        <w:tc>
          <w:tcPr>
            <w:tcW w:w="2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7390F" w:rsidRPr="00681F70" w:rsidRDefault="00EE7244" w:rsidP="00786A76">
            <w:pPr>
              <w:spacing w:after="0" w:line="240" w:lineRule="auto"/>
              <w:rPr>
                <w:rFonts w:ascii="Arial" w:hAnsi="Arial" w:cs="Arial"/>
                <w:b/>
                <w:bCs/>
                <w:sz w:val="24"/>
                <w:szCs w:val="24"/>
              </w:rPr>
            </w:pPr>
            <w:r w:rsidRPr="00681F70">
              <w:rPr>
                <w:rFonts w:ascii="Arial" w:hAnsi="Arial" w:cs="Arial"/>
                <w:b/>
                <w:bCs/>
                <w:sz w:val="24"/>
                <w:szCs w:val="24"/>
              </w:rPr>
              <w:t>6 Monthly Actual (at 30 Sept 2018)</w:t>
            </w:r>
          </w:p>
        </w:tc>
      </w:tr>
      <w:tr w:rsidR="00C07FE1" w:rsidTr="0047390F">
        <w:tc>
          <w:tcPr>
            <w:tcW w:w="2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390F" w:rsidRPr="00681F70" w:rsidRDefault="00EE7244" w:rsidP="00786A76">
            <w:pPr>
              <w:spacing w:after="0" w:line="240" w:lineRule="auto"/>
              <w:rPr>
                <w:rFonts w:ascii="Arial" w:hAnsi="Arial" w:cs="Arial"/>
                <w:sz w:val="24"/>
                <w:szCs w:val="24"/>
              </w:rPr>
            </w:pPr>
            <w:r w:rsidRPr="00681F70">
              <w:rPr>
                <w:rFonts w:ascii="Arial" w:hAnsi="Arial" w:cs="Arial"/>
                <w:sz w:val="24"/>
                <w:szCs w:val="24"/>
              </w:rPr>
              <w:t>Start on site</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47390F" w:rsidRPr="00681F70" w:rsidRDefault="00EE7244" w:rsidP="00786A76">
            <w:pPr>
              <w:spacing w:after="0" w:line="240" w:lineRule="auto"/>
              <w:rPr>
                <w:rFonts w:ascii="Arial" w:hAnsi="Arial" w:cs="Arial"/>
                <w:sz w:val="24"/>
                <w:szCs w:val="24"/>
              </w:rPr>
            </w:pPr>
            <w:r w:rsidRPr="00681F70">
              <w:rPr>
                <w:rFonts w:ascii="Arial" w:hAnsi="Arial" w:cs="Arial"/>
                <w:sz w:val="24"/>
                <w:szCs w:val="24"/>
              </w:rPr>
              <w:t>1</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47390F" w:rsidRPr="00681F70" w:rsidRDefault="00EE7244" w:rsidP="00786A76">
            <w:pPr>
              <w:spacing w:after="0" w:line="240" w:lineRule="auto"/>
              <w:rPr>
                <w:rFonts w:ascii="Arial" w:hAnsi="Arial" w:cs="Arial"/>
                <w:sz w:val="24"/>
                <w:szCs w:val="24"/>
              </w:rPr>
            </w:pPr>
            <w:r w:rsidRPr="00681F70">
              <w:rPr>
                <w:rFonts w:ascii="Arial" w:hAnsi="Arial" w:cs="Arial"/>
                <w:sz w:val="24"/>
                <w:szCs w:val="24"/>
              </w:rPr>
              <w:t>0</w:t>
            </w:r>
          </w:p>
        </w:tc>
      </w:tr>
      <w:tr w:rsidR="00C07FE1" w:rsidTr="0047390F">
        <w:tc>
          <w:tcPr>
            <w:tcW w:w="2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390F" w:rsidRPr="00681F70" w:rsidRDefault="00EE7244" w:rsidP="00786A76">
            <w:pPr>
              <w:spacing w:after="0" w:line="240" w:lineRule="auto"/>
              <w:rPr>
                <w:rFonts w:ascii="Arial" w:hAnsi="Arial" w:cs="Arial"/>
                <w:sz w:val="24"/>
                <w:szCs w:val="24"/>
              </w:rPr>
            </w:pPr>
            <w:r w:rsidRPr="00681F70">
              <w:rPr>
                <w:rFonts w:ascii="Arial" w:hAnsi="Arial" w:cs="Arial"/>
                <w:sz w:val="24"/>
                <w:szCs w:val="24"/>
              </w:rPr>
              <w:t>Housing completions</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47390F" w:rsidRPr="00681F70" w:rsidRDefault="00EE7244" w:rsidP="00786A76">
            <w:pPr>
              <w:spacing w:after="0" w:line="240" w:lineRule="auto"/>
              <w:rPr>
                <w:rFonts w:ascii="Arial" w:hAnsi="Arial" w:cs="Arial"/>
                <w:sz w:val="24"/>
                <w:szCs w:val="24"/>
              </w:rPr>
            </w:pPr>
            <w:r w:rsidRPr="00681F70">
              <w:rPr>
                <w:rFonts w:ascii="Arial" w:hAnsi="Arial" w:cs="Arial"/>
                <w:sz w:val="24"/>
                <w:szCs w:val="24"/>
              </w:rPr>
              <w:t>139</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47390F" w:rsidRPr="00681F70" w:rsidRDefault="00EE7244" w:rsidP="00786A76">
            <w:pPr>
              <w:spacing w:after="0" w:line="240" w:lineRule="auto"/>
              <w:rPr>
                <w:rFonts w:ascii="Arial" w:hAnsi="Arial" w:cs="Arial"/>
                <w:sz w:val="24"/>
                <w:szCs w:val="24"/>
              </w:rPr>
            </w:pPr>
            <w:r w:rsidRPr="00681F70">
              <w:rPr>
                <w:rFonts w:ascii="Arial" w:hAnsi="Arial" w:cs="Arial"/>
                <w:sz w:val="24"/>
                <w:szCs w:val="24"/>
              </w:rPr>
              <w:t>72</w:t>
            </w:r>
          </w:p>
        </w:tc>
      </w:tr>
      <w:tr w:rsidR="00C07FE1" w:rsidTr="0047390F">
        <w:tc>
          <w:tcPr>
            <w:tcW w:w="2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390F" w:rsidRPr="00681F70" w:rsidRDefault="00EE7244" w:rsidP="00786A76">
            <w:pPr>
              <w:spacing w:after="0" w:line="240" w:lineRule="auto"/>
              <w:rPr>
                <w:rFonts w:ascii="Arial" w:hAnsi="Arial" w:cs="Arial"/>
                <w:sz w:val="24"/>
                <w:szCs w:val="24"/>
              </w:rPr>
            </w:pPr>
            <w:r w:rsidRPr="00681F70">
              <w:rPr>
                <w:rFonts w:ascii="Arial" w:hAnsi="Arial" w:cs="Arial"/>
                <w:sz w:val="24"/>
                <w:szCs w:val="24"/>
              </w:rPr>
              <w:t>Site completions</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47390F" w:rsidRPr="00681F70" w:rsidRDefault="00EE7244" w:rsidP="00786A76">
            <w:pPr>
              <w:spacing w:after="0" w:line="240" w:lineRule="auto"/>
              <w:rPr>
                <w:rFonts w:ascii="Arial" w:hAnsi="Arial" w:cs="Arial"/>
                <w:sz w:val="24"/>
                <w:szCs w:val="24"/>
              </w:rPr>
            </w:pPr>
            <w:r w:rsidRPr="00681F70">
              <w:rPr>
                <w:rFonts w:ascii="Arial" w:hAnsi="Arial" w:cs="Arial"/>
                <w:sz w:val="24"/>
                <w:szCs w:val="24"/>
              </w:rPr>
              <w:t>1</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47390F" w:rsidRPr="00681F70" w:rsidRDefault="00EE7244" w:rsidP="00786A76">
            <w:pPr>
              <w:spacing w:after="0" w:line="240" w:lineRule="auto"/>
              <w:rPr>
                <w:rFonts w:ascii="Arial" w:hAnsi="Arial" w:cs="Arial"/>
                <w:sz w:val="24"/>
                <w:szCs w:val="24"/>
              </w:rPr>
            </w:pPr>
            <w:r w:rsidRPr="00681F70">
              <w:rPr>
                <w:rFonts w:ascii="Arial" w:hAnsi="Arial" w:cs="Arial"/>
                <w:sz w:val="24"/>
                <w:szCs w:val="24"/>
              </w:rPr>
              <w:t>0</w:t>
            </w:r>
          </w:p>
        </w:tc>
      </w:tr>
      <w:tr w:rsidR="00C07FE1" w:rsidTr="0047390F">
        <w:tc>
          <w:tcPr>
            <w:tcW w:w="2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390F" w:rsidRPr="00681F70" w:rsidRDefault="00EE7244" w:rsidP="00786A76">
            <w:pPr>
              <w:spacing w:after="0" w:line="240" w:lineRule="auto"/>
              <w:rPr>
                <w:rFonts w:ascii="Arial" w:hAnsi="Arial" w:cs="Arial"/>
                <w:sz w:val="24"/>
                <w:szCs w:val="24"/>
              </w:rPr>
            </w:pPr>
            <w:r w:rsidRPr="00681F70">
              <w:rPr>
                <w:rFonts w:ascii="Arial" w:hAnsi="Arial" w:cs="Arial"/>
                <w:sz w:val="24"/>
                <w:szCs w:val="24"/>
              </w:rPr>
              <w:t>Planning application submissions (includes Outline and Reserved Matters)</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47390F" w:rsidRPr="00681F70" w:rsidRDefault="00EE7244" w:rsidP="00786A76">
            <w:pPr>
              <w:spacing w:after="0" w:line="240" w:lineRule="auto"/>
              <w:rPr>
                <w:rFonts w:ascii="Arial" w:hAnsi="Arial" w:cs="Arial"/>
                <w:sz w:val="24"/>
                <w:szCs w:val="24"/>
              </w:rPr>
            </w:pPr>
            <w:r w:rsidRPr="00681F70">
              <w:rPr>
                <w:rFonts w:ascii="Arial" w:hAnsi="Arial" w:cs="Arial"/>
                <w:sz w:val="24"/>
                <w:szCs w:val="24"/>
              </w:rPr>
              <w:t>3</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47390F" w:rsidRPr="00681F70" w:rsidRDefault="00EE7244" w:rsidP="00786A76">
            <w:pPr>
              <w:spacing w:after="0" w:line="240" w:lineRule="auto"/>
              <w:rPr>
                <w:rFonts w:ascii="Arial" w:hAnsi="Arial" w:cs="Arial"/>
                <w:sz w:val="24"/>
                <w:szCs w:val="24"/>
              </w:rPr>
            </w:pPr>
            <w:r w:rsidRPr="00681F70">
              <w:rPr>
                <w:rFonts w:ascii="Arial" w:hAnsi="Arial" w:cs="Arial"/>
                <w:sz w:val="24"/>
                <w:szCs w:val="24"/>
              </w:rPr>
              <w:t>1</w:t>
            </w:r>
          </w:p>
        </w:tc>
      </w:tr>
      <w:tr w:rsidR="00C07FE1" w:rsidTr="0047390F">
        <w:tc>
          <w:tcPr>
            <w:tcW w:w="2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390F" w:rsidRPr="00681F70" w:rsidRDefault="00EE7244" w:rsidP="00786A76">
            <w:pPr>
              <w:spacing w:after="0" w:line="240" w:lineRule="auto"/>
              <w:rPr>
                <w:rFonts w:ascii="Arial" w:hAnsi="Arial" w:cs="Arial"/>
                <w:sz w:val="24"/>
                <w:szCs w:val="24"/>
              </w:rPr>
            </w:pPr>
            <w:r w:rsidRPr="00681F70">
              <w:rPr>
                <w:rFonts w:ascii="Arial" w:hAnsi="Arial" w:cs="Arial"/>
                <w:sz w:val="24"/>
                <w:szCs w:val="24"/>
              </w:rPr>
              <w:t>Planning application approvals (includes Outline and Reserved Matters)</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47390F" w:rsidRPr="00681F70" w:rsidRDefault="00EE7244" w:rsidP="00786A76">
            <w:pPr>
              <w:spacing w:after="0" w:line="240" w:lineRule="auto"/>
              <w:rPr>
                <w:rFonts w:ascii="Arial" w:hAnsi="Arial" w:cs="Arial"/>
                <w:sz w:val="24"/>
                <w:szCs w:val="24"/>
              </w:rPr>
            </w:pPr>
            <w:r w:rsidRPr="00681F70">
              <w:rPr>
                <w:rFonts w:ascii="Arial" w:hAnsi="Arial" w:cs="Arial"/>
                <w:sz w:val="24"/>
                <w:szCs w:val="24"/>
              </w:rPr>
              <w:t>1</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47390F" w:rsidRPr="00681F70" w:rsidRDefault="00EE7244" w:rsidP="00786A76">
            <w:pPr>
              <w:spacing w:after="0" w:line="240" w:lineRule="auto"/>
              <w:rPr>
                <w:rFonts w:ascii="Arial" w:hAnsi="Arial" w:cs="Arial"/>
                <w:sz w:val="24"/>
                <w:szCs w:val="24"/>
              </w:rPr>
            </w:pPr>
            <w:r w:rsidRPr="00681F70">
              <w:rPr>
                <w:rFonts w:ascii="Arial" w:hAnsi="Arial" w:cs="Arial"/>
                <w:sz w:val="24"/>
                <w:szCs w:val="24"/>
              </w:rPr>
              <w:t>1</w:t>
            </w:r>
          </w:p>
        </w:tc>
      </w:tr>
      <w:tr w:rsidR="00C07FE1" w:rsidTr="0047390F">
        <w:tc>
          <w:tcPr>
            <w:tcW w:w="2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390F" w:rsidRPr="00681F70" w:rsidRDefault="00EE7244" w:rsidP="00786A76">
            <w:pPr>
              <w:spacing w:after="0" w:line="240" w:lineRule="auto"/>
              <w:rPr>
                <w:rFonts w:ascii="Arial" w:hAnsi="Arial" w:cs="Arial"/>
                <w:sz w:val="24"/>
                <w:szCs w:val="24"/>
              </w:rPr>
            </w:pPr>
            <w:r w:rsidRPr="00681F70">
              <w:rPr>
                <w:rFonts w:ascii="Arial" w:hAnsi="Arial" w:cs="Arial"/>
                <w:sz w:val="24"/>
                <w:szCs w:val="24"/>
              </w:rPr>
              <w:t>Sites currently under construction*</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47390F" w:rsidRPr="00681F70" w:rsidRDefault="00EE7244" w:rsidP="00786A76">
            <w:pPr>
              <w:spacing w:after="0" w:line="240" w:lineRule="auto"/>
              <w:rPr>
                <w:rFonts w:ascii="Arial" w:hAnsi="Arial" w:cs="Arial"/>
                <w:sz w:val="24"/>
                <w:szCs w:val="24"/>
              </w:rPr>
            </w:pPr>
            <w:r w:rsidRPr="00681F70">
              <w:rPr>
                <w:rFonts w:ascii="Arial" w:hAnsi="Arial" w:cs="Arial"/>
                <w:sz w:val="24"/>
                <w:szCs w:val="24"/>
              </w:rPr>
              <w:t>8 Housing</w:t>
            </w:r>
          </w:p>
          <w:p w:rsidR="0047390F" w:rsidRPr="00681F70" w:rsidRDefault="00EE7244" w:rsidP="00786A76">
            <w:pPr>
              <w:spacing w:after="0" w:line="240" w:lineRule="auto"/>
              <w:rPr>
                <w:rFonts w:ascii="Arial" w:hAnsi="Arial" w:cs="Arial"/>
                <w:sz w:val="24"/>
                <w:szCs w:val="24"/>
              </w:rPr>
            </w:pPr>
            <w:r w:rsidRPr="00681F70">
              <w:rPr>
                <w:rFonts w:ascii="Arial" w:hAnsi="Arial" w:cs="Arial"/>
                <w:sz w:val="24"/>
                <w:szCs w:val="24"/>
              </w:rPr>
              <w:t>1 Employment</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47390F" w:rsidRPr="00681F70" w:rsidRDefault="00EE7244" w:rsidP="00786A76">
            <w:pPr>
              <w:spacing w:after="0" w:line="240" w:lineRule="auto"/>
              <w:rPr>
                <w:rFonts w:ascii="Arial" w:hAnsi="Arial" w:cs="Arial"/>
                <w:sz w:val="24"/>
                <w:szCs w:val="24"/>
              </w:rPr>
            </w:pPr>
            <w:r w:rsidRPr="00681F70">
              <w:rPr>
                <w:rFonts w:ascii="Arial" w:hAnsi="Arial" w:cs="Arial"/>
                <w:sz w:val="24"/>
                <w:szCs w:val="24"/>
              </w:rPr>
              <w:t>6 Housing</w:t>
            </w:r>
          </w:p>
          <w:p w:rsidR="0047390F" w:rsidRPr="00681F70" w:rsidRDefault="00EE7244" w:rsidP="00786A76">
            <w:pPr>
              <w:spacing w:after="0" w:line="240" w:lineRule="auto"/>
              <w:rPr>
                <w:rFonts w:ascii="Arial" w:hAnsi="Arial" w:cs="Arial"/>
                <w:sz w:val="24"/>
                <w:szCs w:val="24"/>
              </w:rPr>
            </w:pPr>
            <w:r w:rsidRPr="00681F70">
              <w:rPr>
                <w:rFonts w:ascii="Arial" w:hAnsi="Arial" w:cs="Arial"/>
                <w:sz w:val="24"/>
                <w:szCs w:val="24"/>
              </w:rPr>
              <w:t xml:space="preserve">1 Employment </w:t>
            </w:r>
          </w:p>
        </w:tc>
      </w:tr>
    </w:tbl>
    <w:p w:rsidR="0047390F" w:rsidRPr="00681F70" w:rsidRDefault="0047390F" w:rsidP="00786A76">
      <w:pPr>
        <w:spacing w:after="0" w:line="240" w:lineRule="auto"/>
        <w:jc w:val="both"/>
        <w:rPr>
          <w:rFonts w:ascii="Arial" w:hAnsi="Arial" w:cs="Arial"/>
          <w:sz w:val="20"/>
          <w:szCs w:val="20"/>
        </w:rPr>
      </w:pPr>
    </w:p>
    <w:p w:rsidR="0047390F" w:rsidRPr="00681F70" w:rsidRDefault="00EE7244" w:rsidP="00786A76">
      <w:pPr>
        <w:spacing w:after="0" w:line="240" w:lineRule="auto"/>
        <w:jc w:val="both"/>
        <w:rPr>
          <w:rFonts w:ascii="Arial" w:hAnsi="Arial" w:cs="Arial"/>
          <w:sz w:val="18"/>
          <w:szCs w:val="18"/>
        </w:rPr>
      </w:pPr>
      <w:r w:rsidRPr="00681F70">
        <w:rPr>
          <w:rFonts w:ascii="Arial" w:hAnsi="Arial" w:cs="Arial"/>
          <w:sz w:val="18"/>
          <w:szCs w:val="18"/>
        </w:rPr>
        <w:t>*When referring to Homes England sites, for the purpose of the table above each phase on Cottam Hall has been counted as a separate site. For example for Cottam Site K, Phase 2 and Phase 3 are being treated as three sites.</w:t>
      </w:r>
    </w:p>
    <w:p w:rsidR="0047390F" w:rsidRPr="00681F70" w:rsidRDefault="00EE7244" w:rsidP="00786A76">
      <w:pPr>
        <w:spacing w:after="0" w:line="240" w:lineRule="auto"/>
        <w:jc w:val="both"/>
        <w:rPr>
          <w:rFonts w:ascii="Arial" w:hAnsi="Arial" w:cs="Arial"/>
          <w:sz w:val="18"/>
          <w:szCs w:val="18"/>
        </w:rPr>
      </w:pPr>
      <w:r w:rsidRPr="00681F70">
        <w:rPr>
          <w:rFonts w:ascii="Arial" w:hAnsi="Arial" w:cs="Arial"/>
          <w:sz w:val="18"/>
          <w:szCs w:val="18"/>
        </w:rPr>
        <w:t>Source:  Homes England</w:t>
      </w:r>
    </w:p>
    <w:p w:rsidR="0047390F" w:rsidRPr="00681F70" w:rsidRDefault="0047390F" w:rsidP="00786A76">
      <w:pPr>
        <w:spacing w:after="0" w:line="240" w:lineRule="auto"/>
        <w:jc w:val="both"/>
        <w:rPr>
          <w:rFonts w:ascii="Arial" w:hAnsi="Arial" w:cs="Arial"/>
          <w:color w:val="FF0000"/>
          <w:sz w:val="24"/>
          <w:szCs w:val="24"/>
        </w:rPr>
      </w:pPr>
    </w:p>
    <w:p w:rsidR="0047390F" w:rsidRPr="00681F70" w:rsidRDefault="00EE7244" w:rsidP="00786A76">
      <w:pPr>
        <w:tabs>
          <w:tab w:val="left" w:pos="426"/>
        </w:tabs>
        <w:spacing w:after="0" w:line="240" w:lineRule="auto"/>
        <w:jc w:val="both"/>
        <w:rPr>
          <w:rFonts w:ascii="Arial" w:hAnsi="Arial" w:cs="Arial"/>
          <w:b/>
          <w:sz w:val="24"/>
          <w:szCs w:val="24"/>
        </w:rPr>
      </w:pPr>
      <w:r w:rsidRPr="00681F70">
        <w:rPr>
          <w:rFonts w:ascii="Arial" w:hAnsi="Arial" w:cs="Arial"/>
          <w:b/>
          <w:sz w:val="24"/>
          <w:szCs w:val="24"/>
        </w:rPr>
        <w:t>3.0 Performance on Homes England Sites:</w:t>
      </w:r>
    </w:p>
    <w:p w:rsidR="0047390F" w:rsidRPr="00681F70" w:rsidRDefault="0047390F" w:rsidP="00786A76">
      <w:pPr>
        <w:spacing w:after="0" w:line="240" w:lineRule="auto"/>
        <w:jc w:val="both"/>
        <w:rPr>
          <w:rFonts w:ascii="Arial" w:hAnsi="Arial" w:cs="Arial"/>
          <w:b/>
          <w:bCs/>
          <w:sz w:val="20"/>
          <w:szCs w:val="20"/>
        </w:rPr>
      </w:pPr>
    </w:p>
    <w:p w:rsidR="0047390F" w:rsidRPr="00681F70" w:rsidRDefault="00EE7244" w:rsidP="00786A76">
      <w:pPr>
        <w:spacing w:after="0" w:line="240" w:lineRule="auto"/>
        <w:ind w:left="426" w:hanging="426"/>
        <w:jc w:val="both"/>
        <w:rPr>
          <w:rFonts w:ascii="Arial" w:hAnsi="Arial" w:cs="Arial"/>
          <w:sz w:val="24"/>
          <w:szCs w:val="24"/>
        </w:rPr>
      </w:pPr>
      <w:r w:rsidRPr="00681F70">
        <w:rPr>
          <w:rFonts w:ascii="Arial" w:hAnsi="Arial" w:cs="Arial"/>
          <w:sz w:val="24"/>
          <w:szCs w:val="24"/>
        </w:rPr>
        <w:t>3.1 Residential development is currently underway at 6 Homes England City Deal sites and developers are continuing to build out at a good pace. So far this year (up to Sept 18/19) 72 new homes have completed against the annual forecast of 139. A housing site performing particularly well is Whittingham Phase 1, completing 22 new homes between April and Sept 2018. Cottam Hall Phases 1 and 2 along with Eastway have all completed an average of 15 new homes per site. Lovell Homes had their Reserved Matters application approved at Altcar Lane in September 2018, which will result in them starting on site in January 2019 on a development that will deliver 200 new homes. Homes England entered into a conditional contract in August 2018 with Rowland Homes to deliver Cottam Hall Phase 4 for 135 new homes.</w:t>
      </w:r>
    </w:p>
    <w:p w:rsidR="0047390F" w:rsidRPr="00681F70" w:rsidRDefault="0047390F" w:rsidP="00786A76">
      <w:pPr>
        <w:spacing w:after="0" w:line="240" w:lineRule="auto"/>
        <w:jc w:val="both"/>
        <w:rPr>
          <w:rFonts w:ascii="Arial" w:hAnsi="Arial" w:cs="Arial"/>
          <w:sz w:val="24"/>
          <w:szCs w:val="24"/>
        </w:rPr>
      </w:pPr>
    </w:p>
    <w:p w:rsidR="0047390F" w:rsidRPr="00681F70" w:rsidRDefault="00EE7244" w:rsidP="00786A76">
      <w:pPr>
        <w:spacing w:after="0" w:line="240" w:lineRule="auto"/>
        <w:ind w:left="426" w:hanging="568"/>
        <w:jc w:val="both"/>
        <w:rPr>
          <w:rFonts w:ascii="Arial" w:hAnsi="Arial" w:cs="Arial"/>
          <w:sz w:val="24"/>
          <w:szCs w:val="24"/>
        </w:rPr>
      </w:pPr>
      <w:r w:rsidRPr="00681F70">
        <w:rPr>
          <w:rFonts w:ascii="Arial" w:hAnsi="Arial" w:cs="Arial"/>
          <w:sz w:val="24"/>
          <w:szCs w:val="24"/>
        </w:rPr>
        <w:t xml:space="preserve">3.2   Progress is being made on the de-risking of Pickering’s Farm and Whittingham Hospital. Masterplan preparation along with a range of work including technical studies is underway to support outline planning applications that are due to be submitted early/spring 2019. A range of consultation events either have taken place or are planned for the 2 sites. Other work relating to the renegotiation of an access agreement for the Cottam Brickworks site has also commenced in this 6 month period. </w:t>
      </w:r>
    </w:p>
    <w:p w:rsidR="0047390F" w:rsidRPr="00681F70" w:rsidRDefault="0047390F" w:rsidP="00786A76">
      <w:pPr>
        <w:spacing w:after="0" w:line="240" w:lineRule="auto"/>
        <w:jc w:val="both"/>
        <w:rPr>
          <w:rFonts w:ascii="Calibri" w:hAnsi="Calibri" w:cs="Times New Roman"/>
          <w:sz w:val="24"/>
          <w:szCs w:val="24"/>
        </w:rPr>
      </w:pPr>
    </w:p>
    <w:p w:rsidR="0047390F" w:rsidRPr="00681F70" w:rsidRDefault="00EE7244" w:rsidP="00786A76">
      <w:pPr>
        <w:spacing w:after="0" w:line="240" w:lineRule="auto"/>
        <w:ind w:left="426" w:hanging="426"/>
        <w:jc w:val="both"/>
        <w:rPr>
          <w:rFonts w:ascii="Arial" w:hAnsi="Arial" w:cs="Arial"/>
          <w:sz w:val="24"/>
          <w:szCs w:val="24"/>
        </w:rPr>
      </w:pPr>
      <w:r w:rsidRPr="00681F70">
        <w:rPr>
          <w:rFonts w:ascii="Arial" w:hAnsi="Arial" w:cs="Arial"/>
          <w:sz w:val="24"/>
          <w:szCs w:val="24"/>
        </w:rPr>
        <w:t>3.3 In terms of finances</w:t>
      </w:r>
      <w:r>
        <w:rPr>
          <w:rFonts w:ascii="Arial" w:hAnsi="Arial" w:cs="Arial"/>
          <w:sz w:val="24"/>
          <w:szCs w:val="24"/>
        </w:rPr>
        <w:t>,</w:t>
      </w:r>
      <w:r w:rsidRPr="00681F70">
        <w:rPr>
          <w:rFonts w:ascii="Arial" w:hAnsi="Arial" w:cs="Arial"/>
          <w:sz w:val="24"/>
          <w:szCs w:val="24"/>
        </w:rPr>
        <w:t xml:space="preserve"> Homes England is currently on track to pay the £37.5m grant by 2022/23. To date this year, two grant payments have been made to LCC, the first being c£2.49m in April 2018 in relation to Croston Road South and a further </w:t>
      </w:r>
      <w:r w:rsidRPr="00681F70">
        <w:rPr>
          <w:rFonts w:ascii="Arial" w:hAnsi="Arial" w:cs="Arial"/>
          <w:sz w:val="24"/>
          <w:szCs w:val="24"/>
        </w:rPr>
        <w:lastRenderedPageBreak/>
        <w:t>grant payment of £2m was paid in August 2018 in relation to Land at Eastway (residential). A loan payment of £3.9m was also paid to LCC in August 2018 in relation to Cottam Hall Phase 3 (Morris Homes).</w:t>
      </w:r>
    </w:p>
    <w:p w:rsidR="0047390F" w:rsidRPr="00681F70" w:rsidRDefault="0047390F" w:rsidP="00786A76">
      <w:pPr>
        <w:tabs>
          <w:tab w:val="left" w:pos="426"/>
        </w:tabs>
        <w:spacing w:after="0" w:line="240" w:lineRule="auto"/>
        <w:jc w:val="both"/>
        <w:rPr>
          <w:rFonts w:ascii="Arial" w:hAnsi="Arial" w:cs="Arial"/>
          <w:b/>
          <w:sz w:val="24"/>
          <w:szCs w:val="24"/>
        </w:rPr>
      </w:pPr>
    </w:p>
    <w:p w:rsidR="0047390F" w:rsidRPr="00681F70" w:rsidRDefault="00EE7244" w:rsidP="00786A76">
      <w:pPr>
        <w:spacing w:after="0" w:line="240" w:lineRule="auto"/>
        <w:jc w:val="both"/>
        <w:rPr>
          <w:rFonts w:ascii="Arial" w:hAnsi="Arial" w:cs="Arial"/>
          <w:b/>
          <w:sz w:val="24"/>
          <w:szCs w:val="24"/>
        </w:rPr>
      </w:pPr>
      <w:r w:rsidRPr="00681F70">
        <w:rPr>
          <w:rFonts w:ascii="Arial" w:hAnsi="Arial" w:cs="Arial"/>
          <w:b/>
          <w:sz w:val="24"/>
          <w:szCs w:val="24"/>
        </w:rPr>
        <w:t xml:space="preserve">4.0 Commercial Floorspace Outputs </w:t>
      </w:r>
    </w:p>
    <w:p w:rsidR="0047390F" w:rsidRPr="00681F70" w:rsidRDefault="0047390F" w:rsidP="00786A76">
      <w:pPr>
        <w:spacing w:after="0" w:line="240" w:lineRule="auto"/>
        <w:ind w:left="360"/>
        <w:contextualSpacing/>
        <w:jc w:val="both"/>
        <w:rPr>
          <w:rFonts w:ascii="Arial" w:hAnsi="Arial" w:cs="Arial"/>
          <w:b/>
          <w:sz w:val="24"/>
          <w:szCs w:val="24"/>
        </w:rPr>
      </w:pPr>
    </w:p>
    <w:p w:rsidR="0047390F" w:rsidRPr="00681F70" w:rsidRDefault="00EE7244" w:rsidP="00786A76">
      <w:pPr>
        <w:spacing w:after="0" w:line="240" w:lineRule="auto"/>
        <w:ind w:left="426" w:hanging="426"/>
        <w:contextualSpacing/>
        <w:jc w:val="both"/>
        <w:rPr>
          <w:rFonts w:ascii="Arial" w:hAnsi="Arial" w:cs="Arial"/>
          <w:b/>
          <w:sz w:val="24"/>
          <w:szCs w:val="24"/>
        </w:rPr>
      </w:pPr>
      <w:r w:rsidRPr="00681F70">
        <w:rPr>
          <w:rFonts w:ascii="Arial" w:hAnsi="Arial" w:cs="Arial"/>
          <w:sz w:val="24"/>
          <w:szCs w:val="24"/>
        </w:rPr>
        <w:t xml:space="preserve">4.1 Commercial floorspace completions continue to perform well especially on existing employment sites where build out has been brought forward for small units.  </w:t>
      </w:r>
    </w:p>
    <w:p w:rsidR="0047390F" w:rsidRPr="00681F70" w:rsidRDefault="0047390F" w:rsidP="00786A76">
      <w:pPr>
        <w:tabs>
          <w:tab w:val="left" w:pos="0"/>
        </w:tabs>
        <w:spacing w:after="0" w:line="240" w:lineRule="auto"/>
        <w:ind w:left="720"/>
        <w:contextualSpacing/>
        <w:jc w:val="both"/>
        <w:rPr>
          <w:rFonts w:ascii="Arial" w:hAnsi="Arial" w:cs="Arial"/>
          <w:sz w:val="24"/>
          <w:szCs w:val="24"/>
        </w:rPr>
      </w:pPr>
    </w:p>
    <w:p w:rsidR="0047390F" w:rsidRPr="00681F70" w:rsidRDefault="00EE7244" w:rsidP="00786A76">
      <w:pPr>
        <w:spacing w:after="0" w:line="240" w:lineRule="auto"/>
        <w:ind w:left="426" w:hanging="426"/>
        <w:contextualSpacing/>
        <w:jc w:val="both"/>
        <w:rPr>
          <w:rFonts w:ascii="Arial" w:hAnsi="Arial" w:cs="Arial"/>
          <w:sz w:val="24"/>
          <w:szCs w:val="24"/>
        </w:rPr>
      </w:pPr>
      <w:r w:rsidRPr="00681F70">
        <w:rPr>
          <w:rFonts w:ascii="Arial" w:hAnsi="Arial" w:cs="Arial"/>
          <w:sz w:val="24"/>
          <w:szCs w:val="24"/>
        </w:rPr>
        <w:t xml:space="preserve">4.2 Completions will continue to be concentrated at Preston East employment sites where land is expected to be brought forward for similar smaller unit developments in the immediate term, whilst a range of other developments are being progressed for medium-sized occupier led schemes. </w:t>
      </w:r>
    </w:p>
    <w:p w:rsidR="0047390F" w:rsidRPr="00681F70" w:rsidRDefault="0047390F" w:rsidP="00786A76">
      <w:pPr>
        <w:spacing w:after="0" w:line="240" w:lineRule="auto"/>
        <w:contextualSpacing/>
        <w:jc w:val="both"/>
        <w:rPr>
          <w:rFonts w:ascii="Arial" w:hAnsi="Arial" w:cs="Arial"/>
          <w:sz w:val="24"/>
          <w:szCs w:val="24"/>
        </w:rPr>
      </w:pPr>
    </w:p>
    <w:p w:rsidR="0047390F" w:rsidRPr="00681F70" w:rsidRDefault="00EE7244" w:rsidP="00786A76">
      <w:pPr>
        <w:spacing w:after="0" w:line="240" w:lineRule="auto"/>
        <w:ind w:left="426" w:hanging="426"/>
        <w:contextualSpacing/>
        <w:jc w:val="both"/>
        <w:rPr>
          <w:rFonts w:ascii="Arial" w:hAnsi="Arial" w:cs="Arial"/>
          <w:sz w:val="24"/>
          <w:szCs w:val="24"/>
        </w:rPr>
      </w:pPr>
      <w:r w:rsidRPr="00681F70">
        <w:rPr>
          <w:rFonts w:ascii="Arial" w:hAnsi="Arial" w:cs="Arial"/>
          <w:sz w:val="24"/>
          <w:szCs w:val="24"/>
        </w:rPr>
        <w:t xml:space="preserve">4.3 Demand remains high at key employment sites for large logistics operators and for some strategic local relocations. Work is ongoing to bring forward large sites.      </w:t>
      </w:r>
    </w:p>
    <w:p w:rsidR="0047390F" w:rsidRPr="00681F70" w:rsidRDefault="0047390F" w:rsidP="00786A76">
      <w:pPr>
        <w:spacing w:after="0" w:line="240" w:lineRule="auto"/>
        <w:ind w:left="720"/>
        <w:contextualSpacing/>
        <w:jc w:val="both"/>
        <w:rPr>
          <w:rFonts w:ascii="Arial" w:hAnsi="Arial" w:cs="Arial"/>
          <w:sz w:val="24"/>
          <w:szCs w:val="24"/>
        </w:rPr>
      </w:pPr>
    </w:p>
    <w:p w:rsidR="0047390F" w:rsidRPr="00681F70" w:rsidRDefault="00EE7244" w:rsidP="00786A76">
      <w:pPr>
        <w:spacing w:after="0" w:line="240" w:lineRule="auto"/>
        <w:ind w:left="426" w:hanging="426"/>
        <w:contextualSpacing/>
        <w:jc w:val="both"/>
        <w:rPr>
          <w:rFonts w:ascii="Arial" w:hAnsi="Arial" w:cs="Arial"/>
          <w:sz w:val="24"/>
          <w:szCs w:val="24"/>
        </w:rPr>
      </w:pPr>
      <w:r w:rsidRPr="00681F70">
        <w:rPr>
          <w:rFonts w:ascii="Arial" w:hAnsi="Arial" w:cs="Arial"/>
          <w:sz w:val="24"/>
          <w:szCs w:val="24"/>
        </w:rPr>
        <w:t xml:space="preserve">4.4 Out of town retail sites are also performing well, where car retail showroom developments are proving attractive to the market, with other retail activity on-site at Eastway and Queen's Retail Park. </w:t>
      </w:r>
    </w:p>
    <w:p w:rsidR="0047390F" w:rsidRPr="00681F70" w:rsidRDefault="0047390F" w:rsidP="00786A76">
      <w:pPr>
        <w:tabs>
          <w:tab w:val="left" w:pos="0"/>
        </w:tabs>
        <w:spacing w:after="0" w:line="240" w:lineRule="auto"/>
        <w:contextualSpacing/>
        <w:jc w:val="both"/>
        <w:rPr>
          <w:rFonts w:ascii="Arial" w:hAnsi="Arial" w:cs="Arial"/>
          <w:sz w:val="24"/>
          <w:szCs w:val="24"/>
        </w:rPr>
      </w:pPr>
    </w:p>
    <w:p w:rsidR="0047390F" w:rsidRPr="00681F70" w:rsidRDefault="00EE7244" w:rsidP="00786A76">
      <w:pPr>
        <w:tabs>
          <w:tab w:val="left" w:pos="426"/>
        </w:tabs>
        <w:spacing w:after="0" w:line="240" w:lineRule="auto"/>
        <w:ind w:left="426" w:hanging="426"/>
        <w:contextualSpacing/>
        <w:jc w:val="both"/>
        <w:rPr>
          <w:rFonts w:ascii="Arial" w:hAnsi="Arial" w:cs="Arial"/>
          <w:sz w:val="24"/>
          <w:szCs w:val="24"/>
        </w:rPr>
      </w:pPr>
      <w:r w:rsidRPr="00681F70">
        <w:rPr>
          <w:rFonts w:ascii="Arial" w:hAnsi="Arial" w:cs="Arial"/>
          <w:sz w:val="24"/>
          <w:szCs w:val="24"/>
        </w:rPr>
        <w:t xml:space="preserve">4.5 A review of commercial sites is currently underway for the Development Sites Delivery Group, and which will report upon the pace of progress against original baseline targets and current mitigation measures.   </w:t>
      </w:r>
    </w:p>
    <w:p w:rsidR="0047390F" w:rsidRPr="00681F70" w:rsidRDefault="0047390F" w:rsidP="00786A76">
      <w:pPr>
        <w:spacing w:after="0" w:line="240" w:lineRule="auto"/>
        <w:jc w:val="both"/>
        <w:rPr>
          <w:rFonts w:ascii="Arial" w:hAnsi="Arial" w:cs="Arial"/>
          <w:b/>
          <w:sz w:val="24"/>
          <w:szCs w:val="24"/>
        </w:rPr>
      </w:pPr>
    </w:p>
    <w:p w:rsidR="0047390F" w:rsidRPr="00681F70" w:rsidRDefault="00EE7244" w:rsidP="00786A76">
      <w:pPr>
        <w:spacing w:after="0" w:line="240" w:lineRule="auto"/>
        <w:jc w:val="both"/>
        <w:rPr>
          <w:rFonts w:ascii="Arial" w:hAnsi="Arial" w:cs="Arial"/>
          <w:b/>
          <w:sz w:val="24"/>
          <w:szCs w:val="24"/>
        </w:rPr>
      </w:pPr>
      <w:r w:rsidRPr="00681F70">
        <w:rPr>
          <w:rFonts w:ascii="Arial" w:hAnsi="Arial" w:cs="Arial"/>
          <w:b/>
          <w:sz w:val="24"/>
          <w:szCs w:val="24"/>
        </w:rPr>
        <w:t xml:space="preserve">5.0 Completions </w:t>
      </w:r>
    </w:p>
    <w:p w:rsidR="0047390F" w:rsidRPr="00681F70" w:rsidRDefault="0047390F" w:rsidP="00786A76">
      <w:pPr>
        <w:spacing w:after="0" w:line="240" w:lineRule="auto"/>
        <w:jc w:val="both"/>
        <w:rPr>
          <w:rFonts w:ascii="Arial" w:hAnsi="Arial" w:cs="Arial"/>
          <w:b/>
          <w:sz w:val="24"/>
          <w:szCs w:val="24"/>
        </w:rPr>
      </w:pPr>
    </w:p>
    <w:p w:rsidR="0047390F" w:rsidRPr="00681F70" w:rsidRDefault="00EE7244" w:rsidP="00786A76">
      <w:pPr>
        <w:spacing w:after="0" w:line="240" w:lineRule="auto"/>
        <w:ind w:left="426" w:hanging="426"/>
        <w:jc w:val="both"/>
        <w:rPr>
          <w:rFonts w:ascii="Arial" w:hAnsi="Arial" w:cs="Arial"/>
          <w:sz w:val="24"/>
          <w:szCs w:val="24"/>
        </w:rPr>
      </w:pPr>
      <w:r w:rsidRPr="00681F70">
        <w:rPr>
          <w:rFonts w:ascii="Arial" w:hAnsi="Arial" w:cs="Arial"/>
          <w:sz w:val="24"/>
          <w:szCs w:val="24"/>
        </w:rPr>
        <w:t>5.1 In the first 6 months of year 5</w:t>
      </w:r>
      <w:r>
        <w:rPr>
          <w:rFonts w:ascii="Arial" w:hAnsi="Arial" w:cs="Arial"/>
          <w:sz w:val="24"/>
          <w:szCs w:val="24"/>
        </w:rPr>
        <w:t>,</w:t>
      </w:r>
      <w:r w:rsidRPr="00681F70">
        <w:rPr>
          <w:rFonts w:ascii="Arial" w:hAnsi="Arial" w:cs="Arial"/>
          <w:sz w:val="24"/>
          <w:szCs w:val="24"/>
        </w:rPr>
        <w:t xml:space="preserve"> there has been a relatively strong performance of completions against targets with </w:t>
      </w:r>
      <w:r w:rsidRPr="00681F70">
        <w:rPr>
          <w:rFonts w:ascii="Arial" w:hAnsi="Arial" w:cs="Arial"/>
          <w:b/>
          <w:sz w:val="24"/>
          <w:szCs w:val="24"/>
        </w:rPr>
        <w:t>8341.5 sq m</w:t>
      </w:r>
      <w:r w:rsidRPr="00681F70">
        <w:rPr>
          <w:rFonts w:ascii="Arial" w:hAnsi="Arial" w:cs="Arial"/>
          <w:sz w:val="24"/>
          <w:szCs w:val="24"/>
        </w:rPr>
        <w:t xml:space="preserve"> of commercial floorspace completed against a target of </w:t>
      </w:r>
      <w:r w:rsidRPr="00681F70">
        <w:rPr>
          <w:rFonts w:ascii="Arial" w:hAnsi="Arial" w:cs="Arial"/>
          <w:b/>
          <w:sz w:val="24"/>
          <w:szCs w:val="24"/>
        </w:rPr>
        <w:t>669.5 sq m</w:t>
      </w:r>
      <w:r w:rsidRPr="00681F70">
        <w:rPr>
          <w:rFonts w:ascii="Arial" w:hAnsi="Arial" w:cs="Arial"/>
          <w:sz w:val="24"/>
          <w:szCs w:val="24"/>
        </w:rPr>
        <w:t xml:space="preserve">. This includes additional sites that have boosted targets. </w:t>
      </w:r>
    </w:p>
    <w:p w:rsidR="0047390F" w:rsidRPr="00681F70" w:rsidRDefault="0047390F" w:rsidP="00786A76">
      <w:pPr>
        <w:spacing w:after="0" w:line="240" w:lineRule="auto"/>
        <w:jc w:val="both"/>
        <w:rPr>
          <w:rFonts w:ascii="Arial" w:hAnsi="Arial" w:cs="Arial"/>
          <w:sz w:val="24"/>
          <w:szCs w:val="24"/>
        </w:rPr>
      </w:pPr>
    </w:p>
    <w:p w:rsidR="0047390F" w:rsidRPr="00681F70" w:rsidRDefault="00EE7244" w:rsidP="00786A76">
      <w:pPr>
        <w:spacing w:after="0" w:line="240" w:lineRule="auto"/>
        <w:jc w:val="both"/>
        <w:rPr>
          <w:rFonts w:ascii="Arial" w:hAnsi="Arial" w:cs="Arial"/>
          <w:b/>
          <w:sz w:val="24"/>
          <w:szCs w:val="24"/>
        </w:rPr>
      </w:pPr>
      <w:r w:rsidRPr="00681F70">
        <w:rPr>
          <w:rFonts w:ascii="Arial" w:hAnsi="Arial" w:cs="Arial"/>
          <w:b/>
          <w:sz w:val="24"/>
          <w:szCs w:val="24"/>
        </w:rPr>
        <w:t xml:space="preserve">5.2 Submissions/Consents  </w:t>
      </w:r>
    </w:p>
    <w:p w:rsidR="0047390F" w:rsidRPr="00681F70" w:rsidRDefault="0047390F" w:rsidP="00786A76">
      <w:pPr>
        <w:spacing w:after="0" w:line="240" w:lineRule="auto"/>
        <w:jc w:val="both"/>
        <w:rPr>
          <w:rFonts w:ascii="Arial" w:hAnsi="Arial" w:cs="Arial"/>
          <w:b/>
          <w:sz w:val="24"/>
          <w:szCs w:val="24"/>
        </w:rPr>
      </w:pPr>
    </w:p>
    <w:p w:rsidR="0047390F" w:rsidRPr="00681F70" w:rsidRDefault="00EE7244" w:rsidP="00786A76">
      <w:pPr>
        <w:spacing w:after="0" w:line="240" w:lineRule="auto"/>
        <w:ind w:left="426" w:hanging="426"/>
        <w:jc w:val="both"/>
        <w:rPr>
          <w:rFonts w:ascii="Arial" w:hAnsi="Arial" w:cs="Arial"/>
          <w:sz w:val="24"/>
          <w:szCs w:val="24"/>
        </w:rPr>
      </w:pPr>
      <w:r w:rsidRPr="00681F70">
        <w:rPr>
          <w:rFonts w:ascii="Arial" w:hAnsi="Arial" w:cs="Arial"/>
          <w:sz w:val="24"/>
          <w:szCs w:val="24"/>
        </w:rPr>
        <w:t xml:space="preserve">5.3 In the first 6 months of year 5, </w:t>
      </w:r>
      <w:r w:rsidRPr="00681F70">
        <w:rPr>
          <w:rFonts w:ascii="Arial" w:hAnsi="Arial" w:cs="Arial"/>
          <w:b/>
          <w:sz w:val="24"/>
          <w:szCs w:val="24"/>
        </w:rPr>
        <w:t>12,410 sq m</w:t>
      </w:r>
      <w:r w:rsidRPr="00681F70">
        <w:rPr>
          <w:rFonts w:ascii="Arial" w:hAnsi="Arial" w:cs="Arial"/>
          <w:sz w:val="24"/>
          <w:szCs w:val="24"/>
        </w:rPr>
        <w:t xml:space="preserve"> of commercial floorspace was </w:t>
      </w:r>
      <w:r w:rsidRPr="00681F70">
        <w:rPr>
          <w:rFonts w:ascii="Arial" w:hAnsi="Arial" w:cs="Arial"/>
          <w:b/>
          <w:sz w:val="24"/>
          <w:szCs w:val="24"/>
        </w:rPr>
        <w:t>submitted</w:t>
      </w:r>
      <w:r w:rsidRPr="00681F70">
        <w:rPr>
          <w:rFonts w:ascii="Arial" w:hAnsi="Arial" w:cs="Arial"/>
          <w:sz w:val="24"/>
          <w:szCs w:val="24"/>
        </w:rPr>
        <w:t xml:space="preserve"> for planning </w:t>
      </w:r>
      <w:r>
        <w:rPr>
          <w:rFonts w:ascii="Arial" w:hAnsi="Arial" w:cs="Arial"/>
          <w:sz w:val="24"/>
          <w:szCs w:val="24"/>
        </w:rPr>
        <w:t xml:space="preserve">and a </w:t>
      </w:r>
      <w:r w:rsidRPr="00681F70">
        <w:rPr>
          <w:rFonts w:ascii="Arial" w:hAnsi="Arial" w:cs="Arial"/>
          <w:sz w:val="24"/>
          <w:szCs w:val="24"/>
        </w:rPr>
        <w:t xml:space="preserve">total of </w:t>
      </w:r>
      <w:r w:rsidRPr="00681F70">
        <w:rPr>
          <w:rFonts w:ascii="Arial" w:hAnsi="Arial" w:cs="Arial"/>
          <w:b/>
          <w:sz w:val="24"/>
          <w:szCs w:val="24"/>
        </w:rPr>
        <w:t>17,092 sq m</w:t>
      </w:r>
      <w:r w:rsidRPr="00681F70">
        <w:rPr>
          <w:rFonts w:ascii="Arial" w:hAnsi="Arial" w:cs="Arial"/>
          <w:sz w:val="24"/>
          <w:szCs w:val="24"/>
        </w:rPr>
        <w:t xml:space="preserve"> of commercial floorspace was </w:t>
      </w:r>
      <w:r w:rsidRPr="00681F70">
        <w:rPr>
          <w:rFonts w:ascii="Arial" w:hAnsi="Arial" w:cs="Arial"/>
          <w:b/>
          <w:sz w:val="24"/>
          <w:szCs w:val="24"/>
        </w:rPr>
        <w:t>consented</w:t>
      </w:r>
      <w:r w:rsidRPr="00681F70">
        <w:rPr>
          <w:rFonts w:ascii="Arial" w:hAnsi="Arial" w:cs="Arial"/>
          <w:sz w:val="24"/>
          <w:szCs w:val="24"/>
        </w:rPr>
        <w:t xml:space="preserve"> for planning</w:t>
      </w:r>
      <w:r>
        <w:rPr>
          <w:rFonts w:ascii="Arial" w:hAnsi="Arial" w:cs="Arial"/>
          <w:sz w:val="24"/>
          <w:szCs w:val="24"/>
        </w:rPr>
        <w:t>.  Mid year targets are not set for submissions and consents, but a comparison will be made at year end.</w:t>
      </w:r>
      <w:r w:rsidRPr="00681F70">
        <w:rPr>
          <w:rFonts w:ascii="Arial" w:hAnsi="Arial" w:cs="Arial"/>
          <w:sz w:val="24"/>
          <w:szCs w:val="24"/>
        </w:rPr>
        <w:t xml:space="preserve"> </w:t>
      </w:r>
    </w:p>
    <w:p w:rsidR="0047390F" w:rsidRPr="00681F70" w:rsidRDefault="0047390F" w:rsidP="00786A76">
      <w:pPr>
        <w:spacing w:after="0" w:line="240" w:lineRule="auto"/>
        <w:jc w:val="both"/>
        <w:rPr>
          <w:rFonts w:ascii="Arial" w:hAnsi="Arial" w:cs="Arial"/>
          <w:sz w:val="24"/>
          <w:szCs w:val="24"/>
        </w:rPr>
      </w:pPr>
    </w:p>
    <w:p w:rsidR="0047390F" w:rsidRPr="00681F70" w:rsidRDefault="00EE7244" w:rsidP="00786A76">
      <w:pPr>
        <w:spacing w:after="0" w:line="240" w:lineRule="auto"/>
        <w:ind w:left="426" w:hanging="426"/>
        <w:jc w:val="both"/>
        <w:rPr>
          <w:rFonts w:ascii="Arial" w:hAnsi="Arial" w:cs="Arial"/>
          <w:sz w:val="24"/>
          <w:szCs w:val="24"/>
        </w:rPr>
      </w:pPr>
      <w:r w:rsidRPr="00681F70">
        <w:rPr>
          <w:rFonts w:ascii="Arial" w:hAnsi="Arial" w:cs="Arial"/>
          <w:sz w:val="24"/>
          <w:szCs w:val="24"/>
        </w:rPr>
        <w:t>5.4 A breakdown of the commercial site targets and outputs is outlined in table 3 below</w:t>
      </w:r>
      <w:r>
        <w:rPr>
          <w:rFonts w:ascii="Arial" w:hAnsi="Arial" w:cs="Arial"/>
          <w:sz w:val="24"/>
          <w:szCs w:val="24"/>
        </w:rPr>
        <w:t>:-</w:t>
      </w:r>
      <w:r w:rsidRPr="00681F70">
        <w:rPr>
          <w:rFonts w:ascii="Arial" w:hAnsi="Arial" w:cs="Arial"/>
          <w:sz w:val="24"/>
          <w:szCs w:val="24"/>
        </w:rPr>
        <w:t xml:space="preserve"> </w:t>
      </w:r>
    </w:p>
    <w:p w:rsidR="0047390F" w:rsidRPr="00681F70" w:rsidRDefault="0047390F" w:rsidP="00786A76">
      <w:pPr>
        <w:spacing w:after="0" w:line="240" w:lineRule="auto"/>
        <w:jc w:val="both"/>
        <w:rPr>
          <w:rFonts w:ascii="Arial" w:hAnsi="Arial" w:cs="Arial"/>
          <w:sz w:val="24"/>
          <w:szCs w:val="24"/>
        </w:rPr>
      </w:pPr>
    </w:p>
    <w:p w:rsidR="0047390F" w:rsidRPr="00681F70" w:rsidRDefault="0047390F" w:rsidP="00786A76">
      <w:pPr>
        <w:spacing w:after="0" w:line="240" w:lineRule="auto"/>
        <w:jc w:val="both"/>
        <w:rPr>
          <w:rFonts w:ascii="Arial" w:hAnsi="Arial" w:cs="Arial"/>
          <w:b/>
          <w:sz w:val="24"/>
          <w:szCs w:val="24"/>
        </w:rPr>
      </w:pPr>
    </w:p>
    <w:p w:rsidR="0047390F" w:rsidRPr="00681F70" w:rsidRDefault="00EE7244" w:rsidP="00786A76">
      <w:pPr>
        <w:spacing w:after="0" w:line="240" w:lineRule="auto"/>
        <w:rPr>
          <w:rFonts w:ascii="Arial" w:hAnsi="Arial" w:cs="Arial"/>
          <w:b/>
          <w:sz w:val="24"/>
          <w:szCs w:val="24"/>
          <w:u w:val="single"/>
        </w:rPr>
      </w:pPr>
      <w:r w:rsidRPr="00681F70">
        <w:rPr>
          <w:rFonts w:ascii="Arial" w:hAnsi="Arial" w:cs="Arial"/>
          <w:b/>
          <w:sz w:val="24"/>
          <w:szCs w:val="24"/>
          <w:u w:val="single"/>
        </w:rPr>
        <w:br w:type="page"/>
      </w:r>
    </w:p>
    <w:p w:rsidR="00786A76" w:rsidRDefault="00786A76" w:rsidP="00786A76">
      <w:pPr>
        <w:spacing w:after="0" w:line="240" w:lineRule="auto"/>
        <w:jc w:val="both"/>
        <w:rPr>
          <w:rFonts w:ascii="Arial" w:hAnsi="Arial" w:cs="Arial"/>
          <w:b/>
          <w:sz w:val="24"/>
          <w:szCs w:val="24"/>
          <w:u w:val="single"/>
        </w:rPr>
      </w:pPr>
    </w:p>
    <w:p w:rsidR="0047390F" w:rsidRPr="00681F70" w:rsidRDefault="00EE7244" w:rsidP="00786A76">
      <w:pPr>
        <w:spacing w:after="0" w:line="240" w:lineRule="auto"/>
        <w:jc w:val="both"/>
        <w:rPr>
          <w:rFonts w:ascii="Arial" w:hAnsi="Arial" w:cs="Arial"/>
          <w:b/>
          <w:sz w:val="24"/>
          <w:szCs w:val="24"/>
          <w:u w:val="single"/>
        </w:rPr>
      </w:pPr>
      <w:r w:rsidRPr="00681F70">
        <w:rPr>
          <w:rFonts w:ascii="Arial" w:hAnsi="Arial" w:cs="Arial"/>
          <w:b/>
          <w:sz w:val="24"/>
          <w:szCs w:val="24"/>
          <w:u w:val="single"/>
        </w:rPr>
        <w:t xml:space="preserve">Table 3:  </w:t>
      </w:r>
      <w:r>
        <w:rPr>
          <w:rFonts w:ascii="Arial" w:hAnsi="Arial" w:cs="Arial"/>
          <w:b/>
          <w:sz w:val="24"/>
          <w:szCs w:val="24"/>
          <w:u w:val="single"/>
        </w:rPr>
        <w:t>C</w:t>
      </w:r>
      <w:r w:rsidRPr="00681F70">
        <w:rPr>
          <w:rFonts w:ascii="Arial" w:hAnsi="Arial" w:cs="Arial"/>
          <w:b/>
          <w:sz w:val="24"/>
          <w:szCs w:val="24"/>
          <w:u w:val="single"/>
        </w:rPr>
        <w:t xml:space="preserve">ommercial </w:t>
      </w:r>
      <w:r>
        <w:rPr>
          <w:rFonts w:ascii="Arial" w:hAnsi="Arial" w:cs="Arial"/>
          <w:b/>
          <w:sz w:val="24"/>
          <w:szCs w:val="24"/>
          <w:u w:val="single"/>
        </w:rPr>
        <w:t>F</w:t>
      </w:r>
      <w:r w:rsidRPr="00681F70">
        <w:rPr>
          <w:rFonts w:ascii="Arial" w:hAnsi="Arial" w:cs="Arial"/>
          <w:b/>
          <w:sz w:val="24"/>
          <w:szCs w:val="24"/>
          <w:u w:val="single"/>
        </w:rPr>
        <w:t xml:space="preserve">loor </w:t>
      </w:r>
      <w:r>
        <w:rPr>
          <w:rFonts w:ascii="Arial" w:hAnsi="Arial" w:cs="Arial"/>
          <w:b/>
          <w:sz w:val="24"/>
          <w:szCs w:val="24"/>
          <w:u w:val="single"/>
        </w:rPr>
        <w:t>S</w:t>
      </w:r>
      <w:r w:rsidRPr="00681F70">
        <w:rPr>
          <w:rFonts w:ascii="Arial" w:hAnsi="Arial" w:cs="Arial"/>
          <w:b/>
          <w:sz w:val="24"/>
          <w:szCs w:val="24"/>
          <w:u w:val="single"/>
        </w:rPr>
        <w:t xml:space="preserve">pace – </w:t>
      </w:r>
      <w:r>
        <w:rPr>
          <w:rFonts w:ascii="Arial" w:hAnsi="Arial" w:cs="Arial"/>
          <w:b/>
          <w:sz w:val="24"/>
          <w:szCs w:val="24"/>
          <w:u w:val="single"/>
        </w:rPr>
        <w:t>C</w:t>
      </w:r>
      <w:r w:rsidRPr="00681F70">
        <w:rPr>
          <w:rFonts w:ascii="Arial" w:hAnsi="Arial" w:cs="Arial"/>
          <w:b/>
          <w:sz w:val="24"/>
          <w:szCs w:val="24"/>
          <w:u w:val="single"/>
        </w:rPr>
        <w:t xml:space="preserve">ore and </w:t>
      </w:r>
      <w:r>
        <w:rPr>
          <w:rFonts w:ascii="Arial" w:hAnsi="Arial" w:cs="Arial"/>
          <w:b/>
          <w:sz w:val="24"/>
          <w:szCs w:val="24"/>
          <w:u w:val="single"/>
        </w:rPr>
        <w:t>S</w:t>
      </w:r>
      <w:r w:rsidRPr="00681F70">
        <w:rPr>
          <w:rFonts w:ascii="Arial" w:hAnsi="Arial" w:cs="Arial"/>
          <w:b/>
          <w:sz w:val="24"/>
          <w:szCs w:val="24"/>
          <w:u w:val="single"/>
        </w:rPr>
        <w:t xml:space="preserve">upporting </w:t>
      </w:r>
      <w:r>
        <w:rPr>
          <w:rFonts w:ascii="Arial" w:hAnsi="Arial" w:cs="Arial"/>
          <w:b/>
          <w:sz w:val="24"/>
          <w:szCs w:val="24"/>
          <w:u w:val="single"/>
        </w:rPr>
        <w:t>O</w:t>
      </w:r>
      <w:r w:rsidRPr="00681F70">
        <w:rPr>
          <w:rFonts w:ascii="Arial" w:hAnsi="Arial" w:cs="Arial"/>
          <w:b/>
          <w:sz w:val="24"/>
          <w:szCs w:val="24"/>
          <w:u w:val="single"/>
        </w:rPr>
        <w:t>utputs</w:t>
      </w:r>
    </w:p>
    <w:p w:rsidR="0047390F" w:rsidRPr="00681F70" w:rsidRDefault="0047390F" w:rsidP="00786A76">
      <w:pPr>
        <w:spacing w:after="0" w:line="240" w:lineRule="auto"/>
        <w:ind w:left="284"/>
        <w:jc w:val="both"/>
        <w:rPr>
          <w:rFonts w:ascii="Arial" w:hAnsi="Arial" w:cs="Arial"/>
          <w:b/>
          <w:sz w:val="24"/>
          <w:szCs w:val="24"/>
        </w:rPr>
      </w:pPr>
    </w:p>
    <w:tbl>
      <w:tblPr>
        <w:tblStyle w:val="TableGrid1"/>
        <w:tblW w:w="5000" w:type="pct"/>
        <w:tblLayout w:type="fixed"/>
        <w:tblLook w:val="04A0" w:firstRow="1" w:lastRow="0" w:firstColumn="1" w:lastColumn="0" w:noHBand="0" w:noVBand="1"/>
      </w:tblPr>
      <w:tblGrid>
        <w:gridCol w:w="3114"/>
        <w:gridCol w:w="1984"/>
        <w:gridCol w:w="1843"/>
        <w:gridCol w:w="2075"/>
      </w:tblGrid>
      <w:tr w:rsidR="00C07FE1" w:rsidTr="0047390F">
        <w:tc>
          <w:tcPr>
            <w:tcW w:w="3114" w:type="dxa"/>
            <w:tcBorders>
              <w:top w:val="single" w:sz="4" w:space="0" w:color="auto"/>
              <w:left w:val="single" w:sz="4" w:space="0" w:color="auto"/>
              <w:bottom w:val="single" w:sz="4" w:space="0" w:color="auto"/>
              <w:right w:val="single" w:sz="4" w:space="0" w:color="auto"/>
            </w:tcBorders>
            <w:hideMark/>
          </w:tcPr>
          <w:p w:rsidR="0047390F" w:rsidRPr="00681F70" w:rsidRDefault="00EE7244" w:rsidP="00786A76">
            <w:pPr>
              <w:rPr>
                <w:rFonts w:ascii="Arial" w:hAnsi="Arial" w:cs="Arial"/>
                <w:b/>
                <w:sz w:val="24"/>
                <w:szCs w:val="24"/>
              </w:rPr>
            </w:pPr>
            <w:r w:rsidRPr="00681F70">
              <w:rPr>
                <w:rFonts w:ascii="Arial" w:hAnsi="Arial" w:cs="Arial"/>
                <w:b/>
                <w:sz w:val="24"/>
                <w:szCs w:val="24"/>
              </w:rPr>
              <w:t>Core  and supporting outputs</w:t>
            </w:r>
          </w:p>
        </w:tc>
        <w:tc>
          <w:tcPr>
            <w:tcW w:w="1984" w:type="dxa"/>
            <w:tcBorders>
              <w:top w:val="single" w:sz="4" w:space="0" w:color="auto"/>
              <w:left w:val="single" w:sz="4" w:space="0" w:color="auto"/>
              <w:bottom w:val="single" w:sz="4" w:space="0" w:color="auto"/>
              <w:right w:val="single" w:sz="4" w:space="0" w:color="auto"/>
            </w:tcBorders>
            <w:hideMark/>
          </w:tcPr>
          <w:p w:rsidR="0047390F" w:rsidRPr="00681F70" w:rsidRDefault="00EE7244" w:rsidP="00786A76">
            <w:pPr>
              <w:jc w:val="center"/>
              <w:rPr>
                <w:rFonts w:ascii="Arial" w:hAnsi="Arial" w:cs="Arial"/>
                <w:b/>
              </w:rPr>
            </w:pPr>
            <w:r w:rsidRPr="00681F70">
              <w:rPr>
                <w:rFonts w:ascii="Arial" w:hAnsi="Arial" w:cs="Arial"/>
                <w:b/>
              </w:rPr>
              <w:t>1</w:t>
            </w:r>
            <w:r w:rsidRPr="00681F70">
              <w:rPr>
                <w:rFonts w:ascii="Arial" w:hAnsi="Arial" w:cs="Arial"/>
                <w:b/>
                <w:vertAlign w:val="superscript"/>
              </w:rPr>
              <w:t>st</w:t>
            </w:r>
            <w:r w:rsidRPr="00681F70">
              <w:rPr>
                <w:rFonts w:ascii="Arial" w:hAnsi="Arial" w:cs="Arial"/>
                <w:b/>
              </w:rPr>
              <w:t xml:space="preserve"> 6 months 18/19 Trajectory</w:t>
            </w:r>
          </w:p>
          <w:p w:rsidR="0047390F" w:rsidRPr="00681F70" w:rsidRDefault="00EE7244" w:rsidP="00786A76">
            <w:pPr>
              <w:jc w:val="center"/>
              <w:rPr>
                <w:rFonts w:ascii="Arial" w:hAnsi="Arial" w:cs="Arial"/>
                <w:b/>
              </w:rPr>
            </w:pPr>
            <w:r w:rsidRPr="00681F70">
              <w:rPr>
                <w:rFonts w:ascii="Arial" w:hAnsi="Arial" w:cs="Arial"/>
                <w:b/>
              </w:rPr>
              <w:t>(sq m)</w:t>
            </w:r>
          </w:p>
        </w:tc>
        <w:tc>
          <w:tcPr>
            <w:tcW w:w="1843" w:type="dxa"/>
            <w:tcBorders>
              <w:top w:val="single" w:sz="4" w:space="0" w:color="auto"/>
              <w:left w:val="single" w:sz="4" w:space="0" w:color="auto"/>
              <w:bottom w:val="single" w:sz="4" w:space="0" w:color="auto"/>
              <w:right w:val="single" w:sz="4" w:space="0" w:color="auto"/>
            </w:tcBorders>
            <w:hideMark/>
          </w:tcPr>
          <w:p w:rsidR="0047390F" w:rsidRPr="00681F70" w:rsidRDefault="00EE7244" w:rsidP="00786A76">
            <w:pPr>
              <w:jc w:val="center"/>
              <w:rPr>
                <w:rFonts w:ascii="Arial" w:hAnsi="Arial" w:cs="Arial"/>
                <w:b/>
              </w:rPr>
            </w:pPr>
            <w:r w:rsidRPr="00681F70">
              <w:rPr>
                <w:rFonts w:ascii="Arial" w:hAnsi="Arial" w:cs="Arial"/>
                <w:b/>
              </w:rPr>
              <w:t>1</w:t>
            </w:r>
            <w:r w:rsidRPr="00681F70">
              <w:rPr>
                <w:rFonts w:ascii="Arial" w:hAnsi="Arial" w:cs="Arial"/>
                <w:b/>
                <w:vertAlign w:val="superscript"/>
              </w:rPr>
              <w:t>st</w:t>
            </w:r>
            <w:r w:rsidRPr="00681F70">
              <w:rPr>
                <w:rFonts w:ascii="Arial" w:hAnsi="Arial" w:cs="Arial"/>
                <w:b/>
              </w:rPr>
              <w:t xml:space="preserve"> 6 months</w:t>
            </w:r>
          </w:p>
          <w:p w:rsidR="0047390F" w:rsidRPr="00681F70" w:rsidRDefault="00EE7244" w:rsidP="00786A76">
            <w:pPr>
              <w:jc w:val="center"/>
              <w:rPr>
                <w:rFonts w:ascii="Arial" w:hAnsi="Arial" w:cs="Arial"/>
                <w:b/>
              </w:rPr>
            </w:pPr>
            <w:r w:rsidRPr="00681F70">
              <w:rPr>
                <w:rFonts w:ascii="Arial" w:hAnsi="Arial" w:cs="Arial"/>
                <w:b/>
              </w:rPr>
              <w:t>18/19 Actual</w:t>
            </w:r>
          </w:p>
          <w:p w:rsidR="0047390F" w:rsidRPr="00681F70" w:rsidRDefault="00EE7244" w:rsidP="00786A76">
            <w:pPr>
              <w:jc w:val="center"/>
              <w:rPr>
                <w:rFonts w:ascii="Arial" w:hAnsi="Arial" w:cs="Arial"/>
                <w:b/>
              </w:rPr>
            </w:pPr>
            <w:r w:rsidRPr="00681F70">
              <w:rPr>
                <w:rFonts w:ascii="Arial" w:hAnsi="Arial" w:cs="Arial"/>
                <w:b/>
              </w:rPr>
              <w:t>(sq m)</w:t>
            </w:r>
          </w:p>
        </w:tc>
        <w:tc>
          <w:tcPr>
            <w:tcW w:w="2075" w:type="dxa"/>
            <w:tcBorders>
              <w:top w:val="single" w:sz="4" w:space="0" w:color="auto"/>
              <w:left w:val="single" w:sz="4" w:space="0" w:color="auto"/>
              <w:bottom w:val="single" w:sz="4" w:space="0" w:color="auto"/>
              <w:right w:val="single" w:sz="4" w:space="0" w:color="auto"/>
            </w:tcBorders>
          </w:tcPr>
          <w:p w:rsidR="0047390F" w:rsidRPr="00681F70" w:rsidRDefault="00EE7244" w:rsidP="00786A76">
            <w:pPr>
              <w:jc w:val="center"/>
              <w:rPr>
                <w:rFonts w:ascii="Arial" w:hAnsi="Arial" w:cs="Arial"/>
                <w:b/>
              </w:rPr>
            </w:pPr>
            <w:r w:rsidRPr="00681F70">
              <w:rPr>
                <w:rFonts w:ascii="Arial" w:hAnsi="Arial" w:cs="Arial"/>
                <w:b/>
              </w:rPr>
              <w:t>1</w:t>
            </w:r>
            <w:r w:rsidRPr="00681F70">
              <w:rPr>
                <w:rFonts w:ascii="Arial" w:hAnsi="Arial" w:cs="Arial"/>
                <w:b/>
                <w:vertAlign w:val="superscript"/>
              </w:rPr>
              <w:t>st</w:t>
            </w:r>
            <w:r w:rsidRPr="00681F70">
              <w:rPr>
                <w:rFonts w:ascii="Arial" w:hAnsi="Arial" w:cs="Arial"/>
                <w:b/>
              </w:rPr>
              <w:t xml:space="preserve"> 6 months 18/19 Variance</w:t>
            </w:r>
          </w:p>
        </w:tc>
      </w:tr>
      <w:tr w:rsidR="00C07FE1" w:rsidTr="0047390F">
        <w:tc>
          <w:tcPr>
            <w:tcW w:w="3114" w:type="dxa"/>
          </w:tcPr>
          <w:p w:rsidR="0047390F" w:rsidRPr="00681F70" w:rsidRDefault="00EE7244" w:rsidP="00786A76">
            <w:pPr>
              <w:rPr>
                <w:rFonts w:ascii="Arial" w:hAnsi="Arial" w:cs="Arial"/>
                <w:sz w:val="24"/>
                <w:szCs w:val="24"/>
              </w:rPr>
            </w:pPr>
            <w:r w:rsidRPr="00681F70">
              <w:rPr>
                <w:rFonts w:ascii="Arial" w:hAnsi="Arial" w:cs="Arial"/>
                <w:sz w:val="24"/>
                <w:szCs w:val="24"/>
              </w:rPr>
              <w:t>Commercial floorspace completed (sq m)</w:t>
            </w:r>
          </w:p>
        </w:tc>
        <w:tc>
          <w:tcPr>
            <w:tcW w:w="1984" w:type="dxa"/>
            <w:hideMark/>
          </w:tcPr>
          <w:p w:rsidR="0047390F" w:rsidRPr="00681F70" w:rsidRDefault="00EE7244" w:rsidP="00786A76">
            <w:pPr>
              <w:jc w:val="center"/>
              <w:rPr>
                <w:rFonts w:ascii="Arial" w:hAnsi="Arial" w:cs="Arial"/>
                <w:sz w:val="24"/>
                <w:szCs w:val="24"/>
              </w:rPr>
            </w:pPr>
            <w:r w:rsidRPr="00681F70">
              <w:rPr>
                <w:rFonts w:ascii="Arial" w:hAnsi="Arial" w:cs="Arial"/>
                <w:sz w:val="24"/>
                <w:szCs w:val="24"/>
              </w:rPr>
              <w:t>669.5</w:t>
            </w:r>
          </w:p>
          <w:p w:rsidR="0047390F" w:rsidRPr="00681F70" w:rsidRDefault="0047390F" w:rsidP="00786A76">
            <w:pPr>
              <w:jc w:val="center"/>
              <w:rPr>
                <w:rFonts w:ascii="Arial" w:hAnsi="Arial" w:cs="Arial"/>
                <w:sz w:val="24"/>
                <w:szCs w:val="24"/>
              </w:rPr>
            </w:pPr>
          </w:p>
        </w:tc>
        <w:tc>
          <w:tcPr>
            <w:tcW w:w="1843" w:type="dxa"/>
            <w:hideMark/>
          </w:tcPr>
          <w:p w:rsidR="0047390F" w:rsidRPr="00681F70" w:rsidRDefault="00EE7244" w:rsidP="00786A76">
            <w:pPr>
              <w:jc w:val="center"/>
              <w:rPr>
                <w:rFonts w:ascii="Arial" w:hAnsi="Arial" w:cs="Arial"/>
                <w:sz w:val="24"/>
                <w:szCs w:val="24"/>
              </w:rPr>
            </w:pPr>
            <w:r w:rsidRPr="00681F70">
              <w:rPr>
                <w:rFonts w:ascii="Arial" w:hAnsi="Arial" w:cs="Arial"/>
                <w:sz w:val="24"/>
                <w:szCs w:val="24"/>
              </w:rPr>
              <w:t>8341.5</w:t>
            </w:r>
          </w:p>
        </w:tc>
        <w:tc>
          <w:tcPr>
            <w:tcW w:w="2075" w:type="dxa"/>
          </w:tcPr>
          <w:p w:rsidR="0047390F" w:rsidRPr="00681F70" w:rsidRDefault="00EE7244" w:rsidP="00786A76">
            <w:pPr>
              <w:jc w:val="center"/>
              <w:rPr>
                <w:rFonts w:ascii="Arial" w:hAnsi="Arial" w:cs="Arial"/>
                <w:sz w:val="24"/>
                <w:szCs w:val="24"/>
              </w:rPr>
            </w:pPr>
            <w:r w:rsidRPr="00681F70">
              <w:rPr>
                <w:rFonts w:ascii="Arial" w:hAnsi="Arial" w:cs="Arial"/>
                <w:sz w:val="24"/>
                <w:szCs w:val="24"/>
              </w:rPr>
              <w:t>+7672</w:t>
            </w:r>
          </w:p>
        </w:tc>
      </w:tr>
      <w:tr w:rsidR="00C07FE1" w:rsidTr="0047390F">
        <w:tc>
          <w:tcPr>
            <w:tcW w:w="3114" w:type="dxa"/>
            <w:tcBorders>
              <w:top w:val="single" w:sz="4" w:space="0" w:color="auto"/>
              <w:left w:val="single" w:sz="4" w:space="0" w:color="auto"/>
              <w:bottom w:val="single" w:sz="4" w:space="0" w:color="auto"/>
              <w:right w:val="single" w:sz="4" w:space="0" w:color="auto"/>
            </w:tcBorders>
          </w:tcPr>
          <w:p w:rsidR="0047390F" w:rsidRPr="00681F70" w:rsidRDefault="00EE7244" w:rsidP="00786A76">
            <w:pPr>
              <w:rPr>
                <w:rFonts w:ascii="Arial" w:hAnsi="Arial" w:cs="Arial"/>
                <w:sz w:val="24"/>
                <w:szCs w:val="24"/>
              </w:rPr>
            </w:pPr>
            <w:r w:rsidRPr="00681F70">
              <w:rPr>
                <w:rFonts w:ascii="Arial" w:hAnsi="Arial" w:cs="Arial"/>
                <w:sz w:val="24"/>
                <w:szCs w:val="24"/>
              </w:rPr>
              <w:t>Commercial floorspace consented for planning  (sq m)</w:t>
            </w:r>
          </w:p>
        </w:tc>
        <w:tc>
          <w:tcPr>
            <w:tcW w:w="1984" w:type="dxa"/>
            <w:tcBorders>
              <w:top w:val="single" w:sz="4" w:space="0" w:color="auto"/>
              <w:left w:val="single" w:sz="4" w:space="0" w:color="auto"/>
              <w:bottom w:val="single" w:sz="4" w:space="0" w:color="auto"/>
              <w:right w:val="single" w:sz="4" w:space="0" w:color="auto"/>
            </w:tcBorders>
            <w:hideMark/>
          </w:tcPr>
          <w:p w:rsidR="0047390F" w:rsidRPr="00681F70" w:rsidRDefault="00EE7244" w:rsidP="00786A76">
            <w:pPr>
              <w:jc w:val="center"/>
              <w:rPr>
                <w:rFonts w:ascii="Arial" w:hAnsi="Arial" w:cs="Arial"/>
                <w:sz w:val="24"/>
                <w:szCs w:val="24"/>
              </w:rPr>
            </w:pPr>
            <w:r w:rsidRPr="00681F70">
              <w:rPr>
                <w:rFonts w:ascii="Arial" w:hAnsi="Arial" w:cs="Arial"/>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47390F" w:rsidRPr="00681F70" w:rsidRDefault="00EE7244" w:rsidP="00786A76">
            <w:pPr>
              <w:jc w:val="center"/>
              <w:rPr>
                <w:rFonts w:ascii="Arial" w:hAnsi="Arial" w:cs="Arial"/>
                <w:sz w:val="24"/>
                <w:szCs w:val="24"/>
              </w:rPr>
            </w:pPr>
            <w:r w:rsidRPr="00681F70">
              <w:rPr>
                <w:rFonts w:ascii="Arial" w:hAnsi="Arial" w:cs="Arial"/>
                <w:sz w:val="24"/>
                <w:szCs w:val="24"/>
              </w:rPr>
              <w:t xml:space="preserve">17,092  </w:t>
            </w:r>
          </w:p>
          <w:p w:rsidR="0047390F" w:rsidRPr="00681F70" w:rsidRDefault="0047390F" w:rsidP="00786A76">
            <w:pPr>
              <w:jc w:val="center"/>
              <w:rPr>
                <w:rFonts w:ascii="Arial" w:hAnsi="Arial" w:cs="Arial"/>
                <w:sz w:val="24"/>
                <w:szCs w:val="24"/>
              </w:rPr>
            </w:pPr>
          </w:p>
        </w:tc>
        <w:tc>
          <w:tcPr>
            <w:tcW w:w="2075" w:type="dxa"/>
            <w:tcBorders>
              <w:top w:val="single" w:sz="4" w:space="0" w:color="auto"/>
              <w:left w:val="single" w:sz="4" w:space="0" w:color="auto"/>
              <w:bottom w:val="single" w:sz="4" w:space="0" w:color="auto"/>
              <w:right w:val="single" w:sz="4" w:space="0" w:color="auto"/>
            </w:tcBorders>
          </w:tcPr>
          <w:p w:rsidR="0047390F" w:rsidRPr="00681F70" w:rsidRDefault="00EE7244" w:rsidP="00786A76">
            <w:pPr>
              <w:jc w:val="center"/>
              <w:rPr>
                <w:rFonts w:ascii="Arial" w:hAnsi="Arial" w:cs="Arial"/>
                <w:sz w:val="24"/>
                <w:szCs w:val="24"/>
              </w:rPr>
            </w:pPr>
            <w:r w:rsidRPr="00681F70">
              <w:rPr>
                <w:rFonts w:ascii="Arial" w:hAnsi="Arial" w:cs="Arial"/>
                <w:sz w:val="24"/>
                <w:szCs w:val="24"/>
              </w:rPr>
              <w:t xml:space="preserve">+17,092  </w:t>
            </w:r>
          </w:p>
          <w:p w:rsidR="0047390F" w:rsidRPr="00681F70" w:rsidRDefault="0047390F" w:rsidP="00786A76">
            <w:pPr>
              <w:jc w:val="center"/>
              <w:rPr>
                <w:rFonts w:ascii="Arial" w:hAnsi="Arial" w:cs="Arial"/>
                <w:sz w:val="24"/>
                <w:szCs w:val="24"/>
              </w:rPr>
            </w:pPr>
          </w:p>
        </w:tc>
      </w:tr>
      <w:tr w:rsidR="00C07FE1" w:rsidTr="0047390F">
        <w:tc>
          <w:tcPr>
            <w:tcW w:w="3114" w:type="dxa"/>
            <w:tcBorders>
              <w:top w:val="single" w:sz="4" w:space="0" w:color="auto"/>
              <w:left w:val="single" w:sz="4" w:space="0" w:color="auto"/>
              <w:bottom w:val="single" w:sz="4" w:space="0" w:color="auto"/>
              <w:right w:val="single" w:sz="4" w:space="0" w:color="auto"/>
            </w:tcBorders>
            <w:hideMark/>
          </w:tcPr>
          <w:p w:rsidR="0047390F" w:rsidRPr="00681F70" w:rsidRDefault="00EE7244" w:rsidP="00786A76">
            <w:pPr>
              <w:rPr>
                <w:rFonts w:ascii="Arial" w:hAnsi="Arial" w:cs="Arial"/>
                <w:sz w:val="24"/>
                <w:szCs w:val="24"/>
              </w:rPr>
            </w:pPr>
            <w:r w:rsidRPr="00681F70">
              <w:rPr>
                <w:rFonts w:ascii="Arial" w:hAnsi="Arial" w:cs="Arial"/>
                <w:sz w:val="24"/>
                <w:szCs w:val="24"/>
              </w:rPr>
              <w:t>Commercial floorspace submitted for planning</w:t>
            </w:r>
          </w:p>
        </w:tc>
        <w:tc>
          <w:tcPr>
            <w:tcW w:w="1984" w:type="dxa"/>
            <w:tcBorders>
              <w:top w:val="single" w:sz="4" w:space="0" w:color="auto"/>
              <w:left w:val="single" w:sz="4" w:space="0" w:color="auto"/>
              <w:bottom w:val="single" w:sz="4" w:space="0" w:color="auto"/>
              <w:right w:val="single" w:sz="4" w:space="0" w:color="auto"/>
            </w:tcBorders>
            <w:hideMark/>
          </w:tcPr>
          <w:p w:rsidR="0047390F" w:rsidRPr="00681F70" w:rsidRDefault="00EE7244" w:rsidP="00786A76">
            <w:pPr>
              <w:jc w:val="center"/>
              <w:rPr>
                <w:rFonts w:ascii="Arial" w:hAnsi="Arial" w:cs="Arial"/>
                <w:sz w:val="24"/>
                <w:szCs w:val="24"/>
              </w:rPr>
            </w:pPr>
            <w:r w:rsidRPr="00681F70">
              <w:rPr>
                <w:rFonts w:ascii="Arial" w:hAnsi="Arial" w:cs="Arial"/>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47390F" w:rsidRPr="00681F70" w:rsidRDefault="00EE7244" w:rsidP="00786A76">
            <w:pPr>
              <w:jc w:val="center"/>
              <w:rPr>
                <w:rFonts w:ascii="Arial" w:hAnsi="Arial" w:cs="Arial"/>
                <w:sz w:val="24"/>
                <w:szCs w:val="24"/>
              </w:rPr>
            </w:pPr>
            <w:r w:rsidRPr="00681F70">
              <w:rPr>
                <w:rFonts w:ascii="Arial" w:hAnsi="Arial" w:cs="Arial"/>
                <w:sz w:val="24"/>
                <w:szCs w:val="24"/>
              </w:rPr>
              <w:t>12,410</w:t>
            </w:r>
          </w:p>
          <w:p w:rsidR="0047390F" w:rsidRPr="00681F70" w:rsidRDefault="0047390F" w:rsidP="00786A76">
            <w:pPr>
              <w:jc w:val="center"/>
              <w:rPr>
                <w:rFonts w:ascii="Arial" w:hAnsi="Arial" w:cs="Arial"/>
                <w:sz w:val="24"/>
                <w:szCs w:val="24"/>
              </w:rPr>
            </w:pPr>
          </w:p>
        </w:tc>
        <w:tc>
          <w:tcPr>
            <w:tcW w:w="2075" w:type="dxa"/>
            <w:tcBorders>
              <w:top w:val="single" w:sz="4" w:space="0" w:color="auto"/>
              <w:left w:val="single" w:sz="4" w:space="0" w:color="auto"/>
              <w:bottom w:val="single" w:sz="4" w:space="0" w:color="auto"/>
              <w:right w:val="single" w:sz="4" w:space="0" w:color="auto"/>
            </w:tcBorders>
          </w:tcPr>
          <w:p w:rsidR="0047390F" w:rsidRPr="00681F70" w:rsidRDefault="00EE7244" w:rsidP="00786A76">
            <w:pPr>
              <w:jc w:val="center"/>
              <w:rPr>
                <w:rFonts w:ascii="Arial" w:hAnsi="Arial" w:cs="Arial"/>
                <w:sz w:val="24"/>
                <w:szCs w:val="24"/>
              </w:rPr>
            </w:pPr>
            <w:r w:rsidRPr="00681F70">
              <w:rPr>
                <w:rFonts w:ascii="Arial" w:hAnsi="Arial" w:cs="Arial"/>
                <w:sz w:val="24"/>
                <w:szCs w:val="24"/>
              </w:rPr>
              <w:t>+12,410</w:t>
            </w:r>
          </w:p>
        </w:tc>
      </w:tr>
    </w:tbl>
    <w:p w:rsidR="0047390F" w:rsidRPr="00681F70" w:rsidRDefault="0047390F" w:rsidP="00786A76">
      <w:pPr>
        <w:spacing w:after="0" w:line="240" w:lineRule="auto"/>
        <w:ind w:left="360"/>
        <w:jc w:val="both"/>
        <w:rPr>
          <w:rFonts w:ascii="Arial" w:hAnsi="Arial" w:cs="Arial"/>
          <w:sz w:val="24"/>
          <w:szCs w:val="24"/>
        </w:rPr>
      </w:pPr>
    </w:p>
    <w:p w:rsidR="0047390F" w:rsidRPr="00681F70" w:rsidRDefault="00EE7244" w:rsidP="00786A76">
      <w:pPr>
        <w:tabs>
          <w:tab w:val="left" w:pos="426"/>
        </w:tabs>
        <w:spacing w:after="0" w:line="240" w:lineRule="auto"/>
        <w:ind w:left="360" w:hanging="360"/>
        <w:jc w:val="both"/>
        <w:rPr>
          <w:rFonts w:ascii="Arial" w:hAnsi="Arial" w:cs="Arial"/>
          <w:b/>
          <w:sz w:val="24"/>
          <w:szCs w:val="24"/>
        </w:rPr>
      </w:pPr>
      <w:r w:rsidRPr="00681F70">
        <w:rPr>
          <w:rFonts w:ascii="Arial" w:hAnsi="Arial" w:cs="Arial"/>
          <w:b/>
          <w:sz w:val="24"/>
          <w:szCs w:val="24"/>
        </w:rPr>
        <w:t>6.0 How we are working to progress employment sites:</w:t>
      </w:r>
    </w:p>
    <w:p w:rsidR="0047390F" w:rsidRPr="00681F70" w:rsidRDefault="0047390F" w:rsidP="00786A76">
      <w:pPr>
        <w:tabs>
          <w:tab w:val="left" w:pos="426"/>
        </w:tabs>
        <w:spacing w:after="0" w:line="240" w:lineRule="auto"/>
        <w:ind w:left="360" w:hanging="360"/>
        <w:rPr>
          <w:rFonts w:ascii="Arial" w:hAnsi="Arial" w:cs="Arial"/>
          <w:sz w:val="24"/>
          <w:szCs w:val="24"/>
        </w:rPr>
      </w:pPr>
    </w:p>
    <w:p w:rsidR="0047390F" w:rsidRPr="00681F70" w:rsidRDefault="00EE7244" w:rsidP="00786A76">
      <w:pPr>
        <w:tabs>
          <w:tab w:val="left" w:pos="567"/>
        </w:tabs>
        <w:spacing w:after="0" w:line="240" w:lineRule="auto"/>
        <w:ind w:left="360" w:hanging="360"/>
        <w:jc w:val="both"/>
        <w:rPr>
          <w:rFonts w:ascii="Arial" w:hAnsi="Arial" w:cs="Arial"/>
          <w:sz w:val="24"/>
          <w:szCs w:val="24"/>
        </w:rPr>
      </w:pPr>
      <w:r w:rsidRPr="00681F70">
        <w:rPr>
          <w:rFonts w:ascii="Arial" w:hAnsi="Arial" w:cs="Arial"/>
          <w:sz w:val="24"/>
          <w:szCs w:val="24"/>
        </w:rPr>
        <w:t xml:space="preserve">6.1 In total, 19 projects are performing in line with anticipated completion targets. A  further 13 projects have mitigation actions in place to support delivery, whilst 4 projects face commercial viability issues and significant barriers to progress.  </w:t>
      </w:r>
    </w:p>
    <w:p w:rsidR="0047390F" w:rsidRPr="00681F70" w:rsidRDefault="00EE7244" w:rsidP="00786A76">
      <w:pPr>
        <w:tabs>
          <w:tab w:val="left" w:pos="426"/>
        </w:tabs>
        <w:spacing w:after="0" w:line="240" w:lineRule="auto"/>
        <w:ind w:left="360" w:hanging="360"/>
        <w:jc w:val="both"/>
        <w:rPr>
          <w:rFonts w:ascii="Arial" w:hAnsi="Arial" w:cs="Arial"/>
          <w:sz w:val="24"/>
          <w:szCs w:val="24"/>
        </w:rPr>
      </w:pPr>
      <w:r w:rsidRPr="00681F70">
        <w:rPr>
          <w:rFonts w:ascii="Arial" w:hAnsi="Arial" w:cs="Arial"/>
          <w:sz w:val="24"/>
          <w:szCs w:val="24"/>
        </w:rPr>
        <w:t xml:space="preserve">  </w:t>
      </w:r>
    </w:p>
    <w:p w:rsidR="0047390F" w:rsidRPr="00681F70" w:rsidRDefault="00EE7244" w:rsidP="00786A76">
      <w:pPr>
        <w:tabs>
          <w:tab w:val="left" w:pos="426"/>
        </w:tabs>
        <w:spacing w:after="0" w:line="240" w:lineRule="auto"/>
        <w:ind w:left="360" w:hanging="360"/>
        <w:jc w:val="both"/>
        <w:rPr>
          <w:rFonts w:ascii="Arial" w:hAnsi="Arial" w:cs="Arial"/>
          <w:sz w:val="24"/>
          <w:szCs w:val="24"/>
        </w:rPr>
      </w:pPr>
      <w:r w:rsidRPr="00681F70">
        <w:rPr>
          <w:rFonts w:ascii="Arial" w:hAnsi="Arial" w:cs="Arial"/>
          <w:sz w:val="24"/>
          <w:szCs w:val="24"/>
        </w:rPr>
        <w:t>6.2   Whilst development activity is subject to market demand and commercial</w:t>
      </w:r>
    </w:p>
    <w:p w:rsidR="0047390F" w:rsidRPr="00681F70" w:rsidRDefault="00EE7244" w:rsidP="00786A76">
      <w:pPr>
        <w:tabs>
          <w:tab w:val="left" w:pos="426"/>
        </w:tabs>
        <w:spacing w:after="0" w:line="240" w:lineRule="auto"/>
        <w:ind w:left="360" w:hanging="360"/>
        <w:jc w:val="both"/>
        <w:rPr>
          <w:rFonts w:ascii="Arial" w:hAnsi="Arial" w:cs="Arial"/>
          <w:b/>
          <w:sz w:val="24"/>
          <w:szCs w:val="24"/>
        </w:rPr>
      </w:pPr>
      <w:r w:rsidRPr="00681F70">
        <w:rPr>
          <w:rFonts w:ascii="Arial" w:hAnsi="Arial" w:cs="Arial"/>
          <w:sz w:val="24"/>
          <w:szCs w:val="24"/>
        </w:rPr>
        <w:t xml:space="preserve">       Opportunities, partners are working to ensure that future targets are met by:</w:t>
      </w:r>
    </w:p>
    <w:p w:rsidR="0047390F" w:rsidRPr="00681F70" w:rsidRDefault="0047390F" w:rsidP="00786A76">
      <w:pPr>
        <w:tabs>
          <w:tab w:val="left" w:pos="0"/>
        </w:tabs>
        <w:spacing w:after="0" w:line="240" w:lineRule="auto"/>
        <w:jc w:val="both"/>
        <w:rPr>
          <w:rFonts w:ascii="Arial" w:hAnsi="Arial" w:cs="Arial"/>
          <w:sz w:val="24"/>
          <w:szCs w:val="24"/>
        </w:rPr>
      </w:pPr>
    </w:p>
    <w:p w:rsidR="0047390F" w:rsidRPr="00681F70" w:rsidRDefault="00EE7244" w:rsidP="00786A76">
      <w:pPr>
        <w:numPr>
          <w:ilvl w:val="0"/>
          <w:numId w:val="8"/>
        </w:numPr>
        <w:tabs>
          <w:tab w:val="left" w:pos="426"/>
        </w:tabs>
        <w:spacing w:after="0" w:line="240" w:lineRule="auto"/>
        <w:contextualSpacing/>
        <w:jc w:val="both"/>
        <w:rPr>
          <w:rFonts w:ascii="Arial" w:hAnsi="Arial" w:cs="Arial"/>
          <w:sz w:val="24"/>
          <w:szCs w:val="24"/>
        </w:rPr>
      </w:pPr>
      <w:r w:rsidRPr="00681F70">
        <w:rPr>
          <w:rFonts w:ascii="Arial" w:hAnsi="Arial" w:cs="Arial"/>
          <w:sz w:val="24"/>
          <w:szCs w:val="24"/>
        </w:rPr>
        <w:t xml:space="preserve">Releasing land – progress is being maintained on releasing land, in particular on PCC, LCC and Homes England sites in Preston East, whilst work is ongoing in respect of Farington Hall Estate in South Ribble where there has been recent developer interest. </w:t>
      </w:r>
    </w:p>
    <w:p w:rsidR="0047390F" w:rsidRPr="00681F70" w:rsidRDefault="00EE7244" w:rsidP="00786A76">
      <w:pPr>
        <w:numPr>
          <w:ilvl w:val="0"/>
          <w:numId w:val="8"/>
        </w:numPr>
        <w:tabs>
          <w:tab w:val="left" w:pos="426"/>
        </w:tabs>
        <w:spacing w:after="0" w:line="240" w:lineRule="auto"/>
        <w:contextualSpacing/>
        <w:jc w:val="both"/>
        <w:rPr>
          <w:rFonts w:ascii="Arial" w:hAnsi="Arial" w:cs="Arial"/>
          <w:sz w:val="24"/>
          <w:szCs w:val="24"/>
        </w:rPr>
      </w:pPr>
      <w:r w:rsidRPr="00681F70">
        <w:rPr>
          <w:rFonts w:ascii="Arial" w:hAnsi="Arial" w:cs="Arial"/>
          <w:sz w:val="24"/>
          <w:szCs w:val="24"/>
        </w:rPr>
        <w:t xml:space="preserve">Developing the city centre – a range of activities are being undertaken to develop and implement city-wide schemes, completing complementary public realm schemes, progressing an office scheme business case, developing key leisure schemes.   </w:t>
      </w:r>
    </w:p>
    <w:p w:rsidR="0047390F" w:rsidRPr="00681F70" w:rsidRDefault="00EE7244" w:rsidP="00786A76">
      <w:pPr>
        <w:numPr>
          <w:ilvl w:val="0"/>
          <w:numId w:val="8"/>
        </w:numPr>
        <w:tabs>
          <w:tab w:val="left" w:pos="426"/>
        </w:tabs>
        <w:spacing w:after="0" w:line="240" w:lineRule="auto"/>
        <w:contextualSpacing/>
        <w:jc w:val="both"/>
        <w:rPr>
          <w:rFonts w:ascii="Arial" w:hAnsi="Arial" w:cs="Arial"/>
          <w:sz w:val="24"/>
          <w:szCs w:val="24"/>
        </w:rPr>
      </w:pPr>
      <w:r w:rsidRPr="00681F70">
        <w:rPr>
          <w:rFonts w:ascii="Arial" w:hAnsi="Arial" w:cs="Arial"/>
          <w:sz w:val="24"/>
          <w:szCs w:val="24"/>
        </w:rPr>
        <w:t xml:space="preserve">Accelerating delivery - a review of commercial sites has begun and which will report to DSDG for consideration. </w:t>
      </w:r>
    </w:p>
    <w:p w:rsidR="0047390F" w:rsidRPr="00681F70" w:rsidRDefault="00EE7244" w:rsidP="00786A76">
      <w:pPr>
        <w:numPr>
          <w:ilvl w:val="0"/>
          <w:numId w:val="8"/>
        </w:numPr>
        <w:tabs>
          <w:tab w:val="left" w:pos="426"/>
        </w:tabs>
        <w:spacing w:after="0" w:line="240" w:lineRule="auto"/>
        <w:contextualSpacing/>
        <w:jc w:val="both"/>
        <w:rPr>
          <w:rFonts w:ascii="Arial" w:hAnsi="Arial" w:cs="Arial"/>
          <w:sz w:val="24"/>
          <w:szCs w:val="24"/>
        </w:rPr>
      </w:pPr>
      <w:r w:rsidRPr="00681F70">
        <w:rPr>
          <w:rFonts w:ascii="Arial" w:hAnsi="Arial" w:cs="Arial"/>
          <w:sz w:val="24"/>
          <w:szCs w:val="24"/>
        </w:rPr>
        <w:t xml:space="preserve">Marketing - implementation of a Marketing &amp; Communications Plan continues to generate investor interest. Recent activities include MIPIM marketing collateral (calling cards and supporting web content) and general communications for City Deal outcomes (e.g. Infrastructure schemes indirectly promoting accessibility to sites). A review of future marketing activity is being undertaken.   </w:t>
      </w:r>
    </w:p>
    <w:p w:rsidR="0047390F" w:rsidRDefault="0047390F" w:rsidP="00786A76">
      <w:pPr>
        <w:tabs>
          <w:tab w:val="left" w:pos="426"/>
        </w:tabs>
        <w:spacing w:after="0" w:line="240" w:lineRule="auto"/>
        <w:jc w:val="both"/>
        <w:rPr>
          <w:rFonts w:ascii="Arial" w:hAnsi="Arial" w:cs="Arial"/>
          <w:sz w:val="24"/>
          <w:szCs w:val="24"/>
        </w:rPr>
      </w:pPr>
    </w:p>
    <w:p w:rsidR="0047390F" w:rsidRPr="00681F70" w:rsidRDefault="00EE7244" w:rsidP="00786A76">
      <w:pPr>
        <w:tabs>
          <w:tab w:val="left" w:pos="426"/>
        </w:tabs>
        <w:spacing w:after="0" w:line="240" w:lineRule="auto"/>
        <w:jc w:val="both"/>
        <w:rPr>
          <w:rFonts w:ascii="Arial" w:hAnsi="Arial" w:cs="Arial"/>
          <w:sz w:val="24"/>
          <w:szCs w:val="24"/>
        </w:rPr>
      </w:pPr>
      <w:r w:rsidRPr="00681F70">
        <w:rPr>
          <w:rFonts w:ascii="Arial" w:hAnsi="Arial" w:cs="Arial"/>
          <w:sz w:val="24"/>
          <w:szCs w:val="24"/>
        </w:rPr>
        <w:t>An overview of progress to date and key issues identified on each of the employment sites is provided in the attached city deal housing and employments sites dashboard</w:t>
      </w:r>
      <w:r>
        <w:rPr>
          <w:rFonts w:ascii="Arial" w:hAnsi="Arial" w:cs="Arial"/>
          <w:sz w:val="24"/>
          <w:szCs w:val="24"/>
        </w:rPr>
        <w:t xml:space="preserve"> at </w:t>
      </w:r>
      <w:r w:rsidR="00786A76">
        <w:rPr>
          <w:rFonts w:ascii="Arial" w:hAnsi="Arial" w:cs="Arial"/>
          <w:sz w:val="24"/>
          <w:szCs w:val="24"/>
        </w:rPr>
        <w:t>A</w:t>
      </w:r>
      <w:r w:rsidRPr="00681F70">
        <w:rPr>
          <w:rFonts w:ascii="Arial" w:hAnsi="Arial" w:cs="Arial"/>
          <w:sz w:val="24"/>
          <w:szCs w:val="24"/>
        </w:rPr>
        <w:t>ppendix 2.</w:t>
      </w:r>
    </w:p>
    <w:p w:rsidR="0047390F" w:rsidRPr="00681F70" w:rsidRDefault="0047390F" w:rsidP="00786A76">
      <w:pPr>
        <w:spacing w:after="0" w:line="240" w:lineRule="auto"/>
        <w:jc w:val="both"/>
        <w:rPr>
          <w:rFonts w:ascii="Arial" w:hAnsi="Arial" w:cs="Arial"/>
          <w:b/>
          <w:sz w:val="24"/>
          <w:szCs w:val="24"/>
        </w:rPr>
      </w:pPr>
    </w:p>
    <w:p w:rsidR="0047390F" w:rsidRPr="00681F70" w:rsidRDefault="00EE7244" w:rsidP="00786A76">
      <w:pPr>
        <w:spacing w:after="0" w:line="240" w:lineRule="auto"/>
        <w:rPr>
          <w:rFonts w:ascii="Arial" w:hAnsi="Arial" w:cs="Arial"/>
          <w:b/>
          <w:sz w:val="24"/>
          <w:szCs w:val="24"/>
        </w:rPr>
      </w:pPr>
      <w:r w:rsidRPr="00681F70">
        <w:rPr>
          <w:rFonts w:ascii="Arial" w:hAnsi="Arial" w:cs="Arial"/>
          <w:b/>
          <w:sz w:val="24"/>
          <w:szCs w:val="24"/>
        </w:rPr>
        <w:br w:type="page"/>
      </w:r>
    </w:p>
    <w:p w:rsidR="0047390F" w:rsidRPr="00681F70" w:rsidRDefault="00EE7244" w:rsidP="00786A76">
      <w:pPr>
        <w:spacing w:after="0" w:line="240" w:lineRule="auto"/>
        <w:jc w:val="both"/>
        <w:rPr>
          <w:rFonts w:ascii="Arial" w:hAnsi="Arial" w:cs="Arial"/>
          <w:b/>
          <w:sz w:val="24"/>
          <w:szCs w:val="24"/>
        </w:rPr>
      </w:pPr>
      <w:r w:rsidRPr="00681F70">
        <w:rPr>
          <w:rFonts w:ascii="Arial" w:hAnsi="Arial" w:cs="Arial"/>
          <w:b/>
          <w:sz w:val="24"/>
          <w:szCs w:val="24"/>
        </w:rPr>
        <w:lastRenderedPageBreak/>
        <w:t>7.0 Jobs related to commercial floorspace</w:t>
      </w:r>
    </w:p>
    <w:p w:rsidR="0047390F" w:rsidRPr="00681F70" w:rsidRDefault="0047390F" w:rsidP="00786A76">
      <w:pPr>
        <w:spacing w:after="0" w:line="240" w:lineRule="auto"/>
        <w:jc w:val="both"/>
        <w:rPr>
          <w:rFonts w:ascii="Arial" w:hAnsi="Arial" w:cs="Arial"/>
          <w:b/>
          <w:sz w:val="24"/>
          <w:szCs w:val="24"/>
        </w:rPr>
      </w:pPr>
    </w:p>
    <w:p w:rsidR="0047390F" w:rsidRPr="00681F70" w:rsidRDefault="00EE7244" w:rsidP="00786A76">
      <w:pPr>
        <w:spacing w:after="0" w:line="240" w:lineRule="auto"/>
        <w:ind w:left="567" w:hanging="567"/>
        <w:jc w:val="both"/>
        <w:rPr>
          <w:rFonts w:ascii="Arial" w:hAnsi="Arial" w:cs="Arial"/>
          <w:sz w:val="24"/>
          <w:szCs w:val="24"/>
        </w:rPr>
      </w:pPr>
      <w:r w:rsidRPr="00681F70">
        <w:rPr>
          <w:rFonts w:ascii="Arial" w:hAnsi="Arial" w:cs="Arial"/>
          <w:sz w:val="24"/>
          <w:szCs w:val="24"/>
        </w:rPr>
        <w:t xml:space="preserve">7.1 There have been a total of 353 jobs in the first 6 months of Year 5 that are associated with City Deal commercial floorspace completions, infrastructure construction and BOOST business support activities. </w:t>
      </w:r>
    </w:p>
    <w:p w:rsidR="0047390F" w:rsidRPr="00681F70" w:rsidRDefault="0047390F" w:rsidP="00786A76">
      <w:pPr>
        <w:spacing w:after="0" w:line="240" w:lineRule="auto"/>
        <w:jc w:val="both"/>
        <w:rPr>
          <w:rFonts w:ascii="Arial" w:hAnsi="Arial" w:cs="Arial"/>
          <w:sz w:val="24"/>
          <w:szCs w:val="24"/>
        </w:rPr>
      </w:pPr>
    </w:p>
    <w:p w:rsidR="0047390F" w:rsidRPr="00681F70" w:rsidRDefault="00EE7244" w:rsidP="00786A76">
      <w:pPr>
        <w:spacing w:after="0" w:line="240" w:lineRule="auto"/>
        <w:ind w:left="567" w:hanging="567"/>
        <w:jc w:val="both"/>
        <w:rPr>
          <w:rFonts w:ascii="Arial" w:hAnsi="Arial" w:cs="Arial"/>
          <w:sz w:val="24"/>
          <w:szCs w:val="24"/>
        </w:rPr>
      </w:pPr>
      <w:r w:rsidRPr="00681F70">
        <w:rPr>
          <w:rFonts w:ascii="Arial" w:hAnsi="Arial" w:cs="Arial"/>
          <w:sz w:val="24"/>
          <w:szCs w:val="24"/>
        </w:rPr>
        <w:t xml:space="preserve">7.2 This excludes new letting and acquisitions of existing commercial floorspace employment associated with the apprenticeships, for which data is not yet available but will be included in the Annual Report.  </w:t>
      </w:r>
    </w:p>
    <w:p w:rsidR="0047390F" w:rsidRPr="00681F70" w:rsidRDefault="0047390F" w:rsidP="00786A76">
      <w:pPr>
        <w:spacing w:after="0" w:line="240" w:lineRule="auto"/>
        <w:ind w:left="567" w:hanging="567"/>
        <w:jc w:val="both"/>
        <w:rPr>
          <w:rFonts w:ascii="Arial" w:hAnsi="Arial" w:cs="Arial"/>
          <w:sz w:val="24"/>
          <w:szCs w:val="24"/>
        </w:rPr>
      </w:pPr>
    </w:p>
    <w:p w:rsidR="0047390F" w:rsidRPr="00681F70" w:rsidRDefault="00EE7244" w:rsidP="00786A76">
      <w:pPr>
        <w:spacing w:after="0" w:line="240" w:lineRule="auto"/>
        <w:ind w:left="284" w:hanging="426"/>
        <w:jc w:val="both"/>
        <w:rPr>
          <w:rFonts w:ascii="Arial" w:hAnsi="Arial" w:cs="Arial"/>
          <w:b/>
          <w:sz w:val="24"/>
          <w:szCs w:val="24"/>
        </w:rPr>
      </w:pPr>
      <w:r w:rsidRPr="00681F70">
        <w:rPr>
          <w:rFonts w:ascii="Arial" w:hAnsi="Arial" w:cs="Arial"/>
          <w:b/>
          <w:sz w:val="24"/>
          <w:szCs w:val="24"/>
        </w:rPr>
        <w:t>Table 4 below provides a breakdown of jobs targets and outputs.</w:t>
      </w:r>
    </w:p>
    <w:p w:rsidR="0047390F" w:rsidRPr="00681F70" w:rsidRDefault="0047390F" w:rsidP="00786A76">
      <w:pPr>
        <w:spacing w:after="0" w:line="240" w:lineRule="auto"/>
        <w:ind w:left="284" w:hanging="426"/>
        <w:jc w:val="both"/>
        <w:rPr>
          <w:rFonts w:ascii="Arial" w:hAnsi="Arial" w:cs="Arial"/>
          <w:sz w:val="24"/>
          <w:szCs w:val="24"/>
        </w:rPr>
      </w:pPr>
    </w:p>
    <w:p w:rsidR="0047390F" w:rsidRPr="00681F70" w:rsidRDefault="00EE7244" w:rsidP="00786A76">
      <w:pPr>
        <w:spacing w:after="0" w:line="240" w:lineRule="auto"/>
        <w:ind w:left="284" w:hanging="426"/>
        <w:jc w:val="both"/>
        <w:rPr>
          <w:rFonts w:ascii="Arial" w:hAnsi="Arial" w:cs="Arial"/>
          <w:b/>
          <w:sz w:val="24"/>
          <w:szCs w:val="24"/>
          <w:u w:val="single"/>
        </w:rPr>
      </w:pPr>
      <w:r w:rsidRPr="00681F70">
        <w:rPr>
          <w:rFonts w:ascii="Arial" w:hAnsi="Arial" w:cs="Arial"/>
          <w:b/>
          <w:sz w:val="24"/>
          <w:szCs w:val="24"/>
          <w:u w:val="single"/>
        </w:rPr>
        <w:t>Table 4:  Jobs – outputs</w:t>
      </w:r>
    </w:p>
    <w:p w:rsidR="0047390F" w:rsidRPr="00681F70" w:rsidRDefault="0047390F" w:rsidP="00786A76">
      <w:pPr>
        <w:spacing w:after="0" w:line="240" w:lineRule="auto"/>
        <w:ind w:left="284" w:hanging="426"/>
        <w:jc w:val="both"/>
        <w:rPr>
          <w:rFonts w:ascii="Arial" w:hAnsi="Arial" w:cs="Arial"/>
          <w:b/>
          <w:sz w:val="24"/>
          <w:szCs w:val="24"/>
          <w:u w:val="single"/>
        </w:rPr>
      </w:pPr>
    </w:p>
    <w:tbl>
      <w:tblPr>
        <w:tblStyle w:val="TableGrid1"/>
        <w:tblW w:w="5000" w:type="pct"/>
        <w:tblLayout w:type="fixed"/>
        <w:tblLook w:val="04A0" w:firstRow="1" w:lastRow="0" w:firstColumn="1" w:lastColumn="0" w:noHBand="0" w:noVBand="1"/>
      </w:tblPr>
      <w:tblGrid>
        <w:gridCol w:w="4673"/>
        <w:gridCol w:w="2126"/>
        <w:gridCol w:w="2217"/>
      </w:tblGrid>
      <w:tr w:rsidR="00C07FE1" w:rsidTr="0047390F">
        <w:tc>
          <w:tcPr>
            <w:tcW w:w="4673" w:type="dxa"/>
            <w:tcBorders>
              <w:top w:val="single" w:sz="4" w:space="0" w:color="auto"/>
              <w:left w:val="single" w:sz="4" w:space="0" w:color="auto"/>
              <w:bottom w:val="single" w:sz="4" w:space="0" w:color="auto"/>
              <w:right w:val="single" w:sz="4" w:space="0" w:color="auto"/>
            </w:tcBorders>
            <w:hideMark/>
          </w:tcPr>
          <w:p w:rsidR="0047390F" w:rsidRPr="00681F70" w:rsidRDefault="00EE7244" w:rsidP="00786A76">
            <w:pPr>
              <w:jc w:val="both"/>
              <w:rPr>
                <w:rFonts w:ascii="Arial" w:hAnsi="Arial" w:cs="Arial"/>
                <w:b/>
                <w:sz w:val="24"/>
                <w:szCs w:val="24"/>
              </w:rPr>
            </w:pPr>
            <w:r w:rsidRPr="00681F70">
              <w:rPr>
                <w:rFonts w:ascii="Arial" w:hAnsi="Arial" w:cs="Arial"/>
                <w:b/>
                <w:sz w:val="24"/>
                <w:szCs w:val="24"/>
              </w:rPr>
              <w:t>Jobs outputs</w:t>
            </w:r>
          </w:p>
        </w:tc>
        <w:tc>
          <w:tcPr>
            <w:tcW w:w="2126" w:type="dxa"/>
            <w:tcBorders>
              <w:top w:val="single" w:sz="4" w:space="0" w:color="auto"/>
              <w:left w:val="single" w:sz="4" w:space="0" w:color="auto"/>
              <w:bottom w:val="single" w:sz="4" w:space="0" w:color="auto"/>
              <w:right w:val="single" w:sz="4" w:space="0" w:color="auto"/>
            </w:tcBorders>
            <w:hideMark/>
          </w:tcPr>
          <w:p w:rsidR="0047390F" w:rsidRPr="00681F70" w:rsidRDefault="00EE7244" w:rsidP="00786A76">
            <w:pPr>
              <w:rPr>
                <w:rFonts w:ascii="Arial" w:hAnsi="Arial" w:cs="Arial"/>
                <w:b/>
                <w:sz w:val="24"/>
                <w:szCs w:val="24"/>
              </w:rPr>
            </w:pPr>
            <w:r w:rsidRPr="00681F70">
              <w:rPr>
                <w:rFonts w:ascii="Arial" w:hAnsi="Arial" w:cs="Arial"/>
                <w:b/>
                <w:sz w:val="24"/>
                <w:szCs w:val="24"/>
              </w:rPr>
              <w:t>1</w:t>
            </w:r>
            <w:r w:rsidRPr="00681F70">
              <w:rPr>
                <w:rFonts w:ascii="Arial" w:hAnsi="Arial" w:cs="Arial"/>
                <w:b/>
                <w:sz w:val="24"/>
                <w:szCs w:val="24"/>
                <w:vertAlign w:val="superscript"/>
              </w:rPr>
              <w:t>st</w:t>
            </w:r>
            <w:r w:rsidRPr="00681F70">
              <w:rPr>
                <w:rFonts w:ascii="Arial" w:hAnsi="Arial" w:cs="Arial"/>
                <w:b/>
                <w:sz w:val="24"/>
                <w:szCs w:val="24"/>
              </w:rPr>
              <w:t xml:space="preserve"> 6 months 18/19 Trajectory</w:t>
            </w:r>
          </w:p>
        </w:tc>
        <w:tc>
          <w:tcPr>
            <w:tcW w:w="2217" w:type="dxa"/>
            <w:tcBorders>
              <w:top w:val="single" w:sz="4" w:space="0" w:color="auto"/>
              <w:left w:val="single" w:sz="4" w:space="0" w:color="auto"/>
              <w:bottom w:val="single" w:sz="4" w:space="0" w:color="auto"/>
              <w:right w:val="single" w:sz="4" w:space="0" w:color="auto"/>
            </w:tcBorders>
            <w:hideMark/>
          </w:tcPr>
          <w:p w:rsidR="0047390F" w:rsidRPr="00681F70" w:rsidRDefault="00EE7244" w:rsidP="00786A76">
            <w:pPr>
              <w:rPr>
                <w:rFonts w:ascii="Arial" w:hAnsi="Arial" w:cs="Arial"/>
                <w:b/>
                <w:sz w:val="24"/>
                <w:szCs w:val="24"/>
              </w:rPr>
            </w:pPr>
            <w:r w:rsidRPr="00681F70">
              <w:rPr>
                <w:rFonts w:ascii="Arial" w:hAnsi="Arial" w:cs="Arial"/>
                <w:b/>
                <w:sz w:val="24"/>
                <w:szCs w:val="24"/>
              </w:rPr>
              <w:t>1</w:t>
            </w:r>
            <w:r w:rsidRPr="00681F70">
              <w:rPr>
                <w:rFonts w:ascii="Arial" w:hAnsi="Arial" w:cs="Arial"/>
                <w:b/>
                <w:sz w:val="24"/>
                <w:szCs w:val="24"/>
                <w:vertAlign w:val="superscript"/>
              </w:rPr>
              <w:t>st</w:t>
            </w:r>
            <w:r w:rsidRPr="00681F70">
              <w:rPr>
                <w:rFonts w:ascii="Arial" w:hAnsi="Arial" w:cs="Arial"/>
                <w:b/>
                <w:sz w:val="24"/>
                <w:szCs w:val="24"/>
              </w:rPr>
              <w:t xml:space="preserve"> 6 months 18/19 Actual</w:t>
            </w:r>
          </w:p>
        </w:tc>
      </w:tr>
      <w:tr w:rsidR="00C07FE1" w:rsidTr="0047390F">
        <w:tc>
          <w:tcPr>
            <w:tcW w:w="4673" w:type="dxa"/>
            <w:tcBorders>
              <w:top w:val="single" w:sz="4" w:space="0" w:color="auto"/>
              <w:left w:val="single" w:sz="4" w:space="0" w:color="auto"/>
              <w:bottom w:val="single" w:sz="4" w:space="0" w:color="auto"/>
              <w:right w:val="single" w:sz="4" w:space="0" w:color="auto"/>
            </w:tcBorders>
            <w:hideMark/>
          </w:tcPr>
          <w:p w:rsidR="0047390F" w:rsidRPr="00681F70" w:rsidRDefault="00EE7244" w:rsidP="00786A76">
            <w:pPr>
              <w:rPr>
                <w:rFonts w:ascii="Arial" w:hAnsi="Arial" w:cs="Arial"/>
                <w:sz w:val="24"/>
                <w:szCs w:val="24"/>
              </w:rPr>
            </w:pPr>
            <w:r w:rsidRPr="00681F70">
              <w:rPr>
                <w:rFonts w:ascii="Arial" w:hAnsi="Arial" w:cs="Arial"/>
                <w:sz w:val="24"/>
                <w:szCs w:val="24"/>
              </w:rPr>
              <w:t>Jobs accommodated</w:t>
            </w:r>
          </w:p>
          <w:p w:rsidR="0047390F" w:rsidRPr="00681F70" w:rsidRDefault="00EE7244" w:rsidP="00786A76">
            <w:pPr>
              <w:numPr>
                <w:ilvl w:val="0"/>
                <w:numId w:val="5"/>
              </w:numPr>
              <w:rPr>
                <w:rFonts w:ascii="Arial" w:hAnsi="Arial" w:cs="Arial"/>
                <w:sz w:val="24"/>
                <w:szCs w:val="24"/>
              </w:rPr>
            </w:pPr>
            <w:r w:rsidRPr="00681F70">
              <w:rPr>
                <w:rFonts w:ascii="Arial" w:hAnsi="Arial" w:cs="Arial"/>
                <w:sz w:val="24"/>
                <w:szCs w:val="24"/>
              </w:rPr>
              <w:t>Via commercial floorspace completions*</w:t>
            </w:r>
          </w:p>
        </w:tc>
        <w:tc>
          <w:tcPr>
            <w:tcW w:w="2126" w:type="dxa"/>
            <w:tcBorders>
              <w:top w:val="single" w:sz="4" w:space="0" w:color="auto"/>
              <w:left w:val="single" w:sz="4" w:space="0" w:color="auto"/>
              <w:bottom w:val="single" w:sz="4" w:space="0" w:color="auto"/>
              <w:right w:val="single" w:sz="4" w:space="0" w:color="auto"/>
            </w:tcBorders>
          </w:tcPr>
          <w:p w:rsidR="0047390F" w:rsidRPr="00681F70" w:rsidRDefault="0047390F" w:rsidP="00786A76">
            <w:pPr>
              <w:jc w:val="center"/>
              <w:rPr>
                <w:rFonts w:ascii="Arial" w:hAnsi="Arial" w:cs="Arial"/>
                <w:sz w:val="24"/>
                <w:szCs w:val="24"/>
              </w:rPr>
            </w:pPr>
          </w:p>
          <w:p w:rsidR="0047390F" w:rsidRPr="00681F70" w:rsidRDefault="00EE7244" w:rsidP="00786A76">
            <w:pPr>
              <w:jc w:val="center"/>
              <w:rPr>
                <w:rFonts w:ascii="Arial" w:hAnsi="Arial" w:cs="Arial"/>
                <w:sz w:val="24"/>
                <w:szCs w:val="24"/>
              </w:rPr>
            </w:pPr>
            <w:r w:rsidRPr="00681F70">
              <w:rPr>
                <w:rFonts w:ascii="Arial" w:hAnsi="Arial" w:cs="Arial"/>
                <w:sz w:val="24"/>
                <w:szCs w:val="24"/>
              </w:rPr>
              <w:t>15</w:t>
            </w:r>
          </w:p>
        </w:tc>
        <w:tc>
          <w:tcPr>
            <w:tcW w:w="2217" w:type="dxa"/>
            <w:tcBorders>
              <w:top w:val="single" w:sz="4" w:space="0" w:color="auto"/>
              <w:left w:val="single" w:sz="4" w:space="0" w:color="auto"/>
              <w:bottom w:val="single" w:sz="4" w:space="0" w:color="auto"/>
              <w:right w:val="single" w:sz="4" w:space="0" w:color="auto"/>
            </w:tcBorders>
          </w:tcPr>
          <w:p w:rsidR="0047390F" w:rsidRPr="00681F70" w:rsidRDefault="0047390F" w:rsidP="00786A76">
            <w:pPr>
              <w:jc w:val="center"/>
              <w:rPr>
                <w:rFonts w:ascii="Arial" w:hAnsi="Arial" w:cs="Arial"/>
                <w:sz w:val="24"/>
                <w:szCs w:val="24"/>
              </w:rPr>
            </w:pPr>
          </w:p>
          <w:p w:rsidR="0047390F" w:rsidRPr="00681F70" w:rsidRDefault="00EE7244" w:rsidP="00786A76">
            <w:pPr>
              <w:jc w:val="center"/>
              <w:rPr>
                <w:rFonts w:ascii="Arial" w:hAnsi="Arial" w:cs="Arial"/>
                <w:sz w:val="24"/>
                <w:szCs w:val="24"/>
                <w:highlight w:val="cyan"/>
              </w:rPr>
            </w:pPr>
            <w:r w:rsidRPr="00681F70">
              <w:rPr>
                <w:rFonts w:ascii="Arial" w:hAnsi="Arial" w:cs="Arial"/>
                <w:sz w:val="24"/>
                <w:szCs w:val="24"/>
              </w:rPr>
              <w:t>194</w:t>
            </w:r>
          </w:p>
        </w:tc>
      </w:tr>
      <w:tr w:rsidR="00C07FE1" w:rsidTr="0047390F">
        <w:tc>
          <w:tcPr>
            <w:tcW w:w="4673" w:type="dxa"/>
            <w:tcBorders>
              <w:top w:val="single" w:sz="4" w:space="0" w:color="auto"/>
              <w:left w:val="single" w:sz="4" w:space="0" w:color="auto"/>
              <w:bottom w:val="single" w:sz="4" w:space="0" w:color="auto"/>
              <w:right w:val="single" w:sz="4" w:space="0" w:color="auto"/>
            </w:tcBorders>
            <w:hideMark/>
          </w:tcPr>
          <w:p w:rsidR="0047390F" w:rsidRPr="00681F70" w:rsidRDefault="00EE7244" w:rsidP="00786A76">
            <w:pPr>
              <w:numPr>
                <w:ilvl w:val="0"/>
                <w:numId w:val="5"/>
              </w:numPr>
              <w:rPr>
                <w:rFonts w:ascii="Arial" w:hAnsi="Arial" w:cs="Arial"/>
                <w:sz w:val="24"/>
                <w:szCs w:val="24"/>
              </w:rPr>
            </w:pPr>
            <w:r w:rsidRPr="00681F70">
              <w:rPr>
                <w:rFonts w:ascii="Arial" w:hAnsi="Arial" w:cs="Arial"/>
                <w:sz w:val="24"/>
                <w:szCs w:val="24"/>
              </w:rPr>
              <w:t xml:space="preserve">Construction jobs connected to Capital Investment** </w:t>
            </w:r>
          </w:p>
        </w:tc>
        <w:tc>
          <w:tcPr>
            <w:tcW w:w="2126" w:type="dxa"/>
            <w:tcBorders>
              <w:top w:val="single" w:sz="4" w:space="0" w:color="auto"/>
              <w:left w:val="single" w:sz="4" w:space="0" w:color="auto"/>
              <w:bottom w:val="single" w:sz="4" w:space="0" w:color="auto"/>
              <w:right w:val="single" w:sz="4" w:space="0" w:color="auto"/>
            </w:tcBorders>
          </w:tcPr>
          <w:p w:rsidR="0047390F" w:rsidRPr="00681F70" w:rsidRDefault="00EE7244" w:rsidP="00786A76">
            <w:pPr>
              <w:jc w:val="center"/>
              <w:rPr>
                <w:rFonts w:ascii="Arial" w:hAnsi="Arial" w:cs="Arial"/>
                <w:sz w:val="24"/>
                <w:szCs w:val="24"/>
              </w:rPr>
            </w:pPr>
            <w:r w:rsidRPr="00681F70">
              <w:rPr>
                <w:rFonts w:ascii="Arial" w:hAnsi="Arial" w:cs="Arial"/>
                <w:sz w:val="24"/>
                <w:szCs w:val="24"/>
              </w:rPr>
              <w:t>N/a</w:t>
            </w:r>
          </w:p>
        </w:tc>
        <w:tc>
          <w:tcPr>
            <w:tcW w:w="2217" w:type="dxa"/>
            <w:tcBorders>
              <w:top w:val="single" w:sz="4" w:space="0" w:color="auto"/>
              <w:left w:val="single" w:sz="4" w:space="0" w:color="auto"/>
              <w:bottom w:val="single" w:sz="4" w:space="0" w:color="auto"/>
              <w:right w:val="single" w:sz="4" w:space="0" w:color="auto"/>
            </w:tcBorders>
            <w:shd w:val="clear" w:color="auto" w:fill="FFFFFF" w:themeFill="background1"/>
          </w:tcPr>
          <w:p w:rsidR="0047390F" w:rsidRPr="00681F70" w:rsidRDefault="00EE7244" w:rsidP="00786A76">
            <w:pPr>
              <w:jc w:val="center"/>
              <w:rPr>
                <w:rFonts w:ascii="Arial" w:hAnsi="Arial" w:cs="Arial"/>
                <w:sz w:val="24"/>
                <w:szCs w:val="24"/>
                <w:highlight w:val="cyan"/>
              </w:rPr>
            </w:pPr>
            <w:r w:rsidRPr="00681F70">
              <w:rPr>
                <w:rFonts w:ascii="Arial" w:hAnsi="Arial" w:cs="Arial"/>
                <w:sz w:val="24"/>
                <w:szCs w:val="24"/>
              </w:rPr>
              <w:t>103</w:t>
            </w:r>
          </w:p>
        </w:tc>
      </w:tr>
      <w:tr w:rsidR="00C07FE1" w:rsidTr="0047390F">
        <w:tc>
          <w:tcPr>
            <w:tcW w:w="4673" w:type="dxa"/>
            <w:tcBorders>
              <w:top w:val="single" w:sz="4" w:space="0" w:color="auto"/>
              <w:left w:val="single" w:sz="4" w:space="0" w:color="auto"/>
              <w:bottom w:val="single" w:sz="4" w:space="0" w:color="auto"/>
              <w:right w:val="single" w:sz="4" w:space="0" w:color="auto"/>
            </w:tcBorders>
          </w:tcPr>
          <w:p w:rsidR="0047390F" w:rsidRPr="00681F70" w:rsidRDefault="00EE7244" w:rsidP="00786A76">
            <w:pPr>
              <w:numPr>
                <w:ilvl w:val="0"/>
                <w:numId w:val="5"/>
              </w:numPr>
              <w:rPr>
                <w:rFonts w:ascii="Arial" w:hAnsi="Arial" w:cs="Arial"/>
                <w:sz w:val="24"/>
                <w:szCs w:val="24"/>
              </w:rPr>
            </w:pPr>
            <w:r w:rsidRPr="00681F70">
              <w:rPr>
                <w:rFonts w:ascii="Arial" w:hAnsi="Arial" w:cs="Arial"/>
                <w:sz w:val="24"/>
                <w:szCs w:val="24"/>
              </w:rPr>
              <w:t xml:space="preserve">Business Support activities </w:t>
            </w:r>
          </w:p>
          <w:p w:rsidR="0047390F" w:rsidRPr="00681F70" w:rsidRDefault="0047390F" w:rsidP="00786A76">
            <w:pPr>
              <w:numPr>
                <w:ilvl w:val="0"/>
                <w:numId w:val="5"/>
              </w:numPr>
              <w:rPr>
                <w:rFonts w:ascii="Arial"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47390F" w:rsidRPr="00681F70" w:rsidRDefault="00EE7244" w:rsidP="00786A76">
            <w:pPr>
              <w:tabs>
                <w:tab w:val="left" w:pos="315"/>
                <w:tab w:val="center" w:pos="882"/>
              </w:tabs>
              <w:jc w:val="center"/>
              <w:rPr>
                <w:rFonts w:ascii="Arial" w:hAnsi="Arial" w:cs="Arial"/>
                <w:sz w:val="24"/>
                <w:szCs w:val="24"/>
              </w:rPr>
            </w:pPr>
            <w:r w:rsidRPr="00681F70">
              <w:rPr>
                <w:rFonts w:ascii="Arial" w:hAnsi="Arial" w:cs="Arial"/>
                <w:sz w:val="24"/>
                <w:szCs w:val="24"/>
              </w:rPr>
              <w:t>N/a</w:t>
            </w:r>
          </w:p>
        </w:tc>
        <w:tc>
          <w:tcPr>
            <w:tcW w:w="2217" w:type="dxa"/>
            <w:tcBorders>
              <w:top w:val="single" w:sz="4" w:space="0" w:color="auto"/>
              <w:left w:val="single" w:sz="4" w:space="0" w:color="auto"/>
              <w:bottom w:val="single" w:sz="4" w:space="0" w:color="auto"/>
              <w:right w:val="single" w:sz="4" w:space="0" w:color="auto"/>
            </w:tcBorders>
          </w:tcPr>
          <w:p w:rsidR="0047390F" w:rsidRPr="00681F70" w:rsidRDefault="00EE7244" w:rsidP="00786A76">
            <w:pPr>
              <w:jc w:val="center"/>
              <w:rPr>
                <w:rFonts w:ascii="Arial" w:hAnsi="Arial" w:cs="Arial"/>
                <w:sz w:val="24"/>
                <w:szCs w:val="24"/>
              </w:rPr>
            </w:pPr>
            <w:r w:rsidRPr="00681F70">
              <w:rPr>
                <w:rFonts w:ascii="Arial" w:hAnsi="Arial" w:cs="Arial"/>
                <w:sz w:val="24"/>
                <w:szCs w:val="24"/>
              </w:rPr>
              <w:t>56</w:t>
            </w:r>
          </w:p>
        </w:tc>
      </w:tr>
    </w:tbl>
    <w:p w:rsidR="0047390F" w:rsidRPr="00681F70" w:rsidRDefault="00EE7244" w:rsidP="00786A76">
      <w:pPr>
        <w:spacing w:after="0" w:line="240" w:lineRule="auto"/>
        <w:ind w:left="284" w:hanging="426"/>
        <w:jc w:val="both"/>
      </w:pPr>
      <w:r w:rsidRPr="00681F70">
        <w:t>* Gross jobs based on an average of 43 sq m per job, as per CLG guidance.</w:t>
      </w:r>
    </w:p>
    <w:p w:rsidR="0047390F" w:rsidRPr="00681F70" w:rsidRDefault="00EE7244" w:rsidP="00786A76">
      <w:pPr>
        <w:spacing w:after="0" w:line="240" w:lineRule="auto"/>
        <w:ind w:left="284" w:hanging="426"/>
        <w:jc w:val="both"/>
      </w:pPr>
      <w:r w:rsidRPr="00681F70">
        <w:t>** Based on one job per £86,945 of capital investment</w:t>
      </w:r>
    </w:p>
    <w:p w:rsidR="0047390F" w:rsidRPr="00681F70" w:rsidRDefault="0047390F" w:rsidP="00786A76">
      <w:pPr>
        <w:spacing w:after="0" w:line="240" w:lineRule="auto"/>
        <w:ind w:left="284" w:hanging="426"/>
        <w:jc w:val="both"/>
      </w:pPr>
    </w:p>
    <w:p w:rsidR="0047390F" w:rsidRPr="00681F70" w:rsidRDefault="0047390F" w:rsidP="00786A76">
      <w:pPr>
        <w:spacing w:after="0" w:line="240" w:lineRule="auto"/>
        <w:jc w:val="both"/>
        <w:rPr>
          <w:rFonts w:ascii="Arial" w:hAnsi="Arial" w:cs="Arial"/>
          <w:sz w:val="20"/>
          <w:szCs w:val="20"/>
        </w:rPr>
      </w:pPr>
    </w:p>
    <w:p w:rsidR="0047390F" w:rsidRPr="00681F70" w:rsidRDefault="00EE7244" w:rsidP="00786A76">
      <w:pPr>
        <w:spacing w:after="0" w:line="240" w:lineRule="auto"/>
        <w:jc w:val="both"/>
        <w:rPr>
          <w:rFonts w:ascii="Arial" w:hAnsi="Arial" w:cs="Arial"/>
          <w:sz w:val="20"/>
          <w:szCs w:val="20"/>
        </w:rPr>
      </w:pPr>
      <w:r w:rsidRPr="00681F70">
        <w:rPr>
          <w:rFonts w:ascii="Arial" w:hAnsi="Arial" w:cs="Arial"/>
        </w:rPr>
        <w:t xml:space="preserve">In addition to the above, 107 businesses in Preston and South Ribble have been supported specifically through the BOOST project, and 56 associated jobs created, see table 6 below.   </w:t>
      </w:r>
    </w:p>
    <w:p w:rsidR="0047390F" w:rsidRPr="00681F70" w:rsidRDefault="0047390F" w:rsidP="00786A76">
      <w:pPr>
        <w:spacing w:after="0" w:line="240" w:lineRule="auto"/>
        <w:jc w:val="both"/>
        <w:rPr>
          <w:rFonts w:ascii="Arial" w:hAnsi="Arial" w:cs="Arial"/>
          <w:b/>
          <w:sz w:val="24"/>
          <w:szCs w:val="24"/>
        </w:rPr>
      </w:pPr>
    </w:p>
    <w:p w:rsidR="0047390F" w:rsidRPr="00681F70" w:rsidRDefault="00EE7244" w:rsidP="00786A76">
      <w:pPr>
        <w:spacing w:after="0" w:line="240" w:lineRule="auto"/>
        <w:jc w:val="both"/>
        <w:rPr>
          <w:rFonts w:ascii="Arial" w:hAnsi="Arial" w:cs="Arial"/>
          <w:b/>
          <w:sz w:val="24"/>
          <w:szCs w:val="24"/>
          <w:u w:val="single"/>
        </w:rPr>
      </w:pPr>
      <w:r w:rsidRPr="00681F70">
        <w:rPr>
          <w:rFonts w:ascii="Arial" w:hAnsi="Arial" w:cs="Arial"/>
          <w:b/>
          <w:sz w:val="24"/>
          <w:szCs w:val="24"/>
          <w:u w:val="single"/>
        </w:rPr>
        <w:t xml:space="preserve">Table 5: Business support and associated jobs </w:t>
      </w:r>
    </w:p>
    <w:p w:rsidR="0047390F" w:rsidRPr="00681F70" w:rsidRDefault="0047390F" w:rsidP="00786A76">
      <w:pPr>
        <w:spacing w:after="0" w:line="240" w:lineRule="auto"/>
        <w:jc w:val="both"/>
        <w:rPr>
          <w:rFonts w:ascii="Arial" w:hAnsi="Arial" w:cs="Arial"/>
          <w:b/>
          <w:sz w:val="24"/>
          <w:szCs w:val="24"/>
          <w:u w:val="single"/>
        </w:rPr>
      </w:pPr>
    </w:p>
    <w:tbl>
      <w:tblPr>
        <w:tblStyle w:val="TableGrid"/>
        <w:tblW w:w="9215" w:type="dxa"/>
        <w:tblInd w:w="-289" w:type="dxa"/>
        <w:tblLook w:val="04A0" w:firstRow="1" w:lastRow="0" w:firstColumn="1" w:lastColumn="0" w:noHBand="0" w:noVBand="1"/>
      </w:tblPr>
      <w:tblGrid>
        <w:gridCol w:w="7088"/>
        <w:gridCol w:w="2127"/>
      </w:tblGrid>
      <w:tr w:rsidR="00C07FE1" w:rsidTr="0047390F">
        <w:tc>
          <w:tcPr>
            <w:tcW w:w="7088" w:type="dxa"/>
            <w:tcBorders>
              <w:top w:val="single" w:sz="4" w:space="0" w:color="auto"/>
              <w:left w:val="single" w:sz="4" w:space="0" w:color="auto"/>
              <w:bottom w:val="single" w:sz="4" w:space="0" w:color="auto"/>
              <w:right w:val="single" w:sz="4" w:space="0" w:color="auto"/>
            </w:tcBorders>
            <w:hideMark/>
          </w:tcPr>
          <w:p w:rsidR="0047390F" w:rsidRPr="00681F70" w:rsidRDefault="00EE7244" w:rsidP="00786A76">
            <w:pPr>
              <w:jc w:val="both"/>
              <w:rPr>
                <w:rFonts w:ascii="Arial" w:hAnsi="Arial" w:cs="Arial"/>
                <w:b/>
                <w:sz w:val="24"/>
                <w:szCs w:val="24"/>
              </w:rPr>
            </w:pPr>
            <w:r w:rsidRPr="00681F70">
              <w:rPr>
                <w:rFonts w:ascii="Arial" w:hAnsi="Arial" w:cs="Arial"/>
                <w:b/>
                <w:sz w:val="24"/>
                <w:szCs w:val="24"/>
              </w:rPr>
              <w:t>Output</w:t>
            </w:r>
          </w:p>
        </w:tc>
        <w:tc>
          <w:tcPr>
            <w:tcW w:w="2127" w:type="dxa"/>
            <w:tcBorders>
              <w:top w:val="single" w:sz="4" w:space="0" w:color="auto"/>
              <w:left w:val="single" w:sz="4" w:space="0" w:color="auto"/>
              <w:bottom w:val="single" w:sz="4" w:space="0" w:color="auto"/>
              <w:right w:val="single" w:sz="4" w:space="0" w:color="auto"/>
            </w:tcBorders>
            <w:hideMark/>
          </w:tcPr>
          <w:p w:rsidR="0047390F" w:rsidRPr="00681F70" w:rsidRDefault="00EE7244" w:rsidP="00786A76">
            <w:pPr>
              <w:jc w:val="center"/>
              <w:rPr>
                <w:rFonts w:ascii="Arial" w:hAnsi="Arial" w:cs="Arial"/>
                <w:b/>
                <w:sz w:val="24"/>
                <w:szCs w:val="24"/>
              </w:rPr>
            </w:pPr>
            <w:r w:rsidRPr="00681F70">
              <w:rPr>
                <w:rFonts w:ascii="Arial" w:hAnsi="Arial" w:cs="Arial"/>
                <w:b/>
                <w:sz w:val="24"/>
                <w:szCs w:val="24"/>
              </w:rPr>
              <w:t>2018/19 (1</w:t>
            </w:r>
            <w:r w:rsidRPr="00681F70">
              <w:rPr>
                <w:rFonts w:ascii="Arial" w:hAnsi="Arial" w:cs="Arial"/>
                <w:b/>
                <w:sz w:val="24"/>
                <w:szCs w:val="24"/>
                <w:vertAlign w:val="superscript"/>
              </w:rPr>
              <w:t>st</w:t>
            </w:r>
            <w:r w:rsidRPr="00681F70">
              <w:rPr>
                <w:rFonts w:ascii="Arial" w:hAnsi="Arial" w:cs="Arial"/>
                <w:b/>
                <w:sz w:val="24"/>
                <w:szCs w:val="24"/>
              </w:rPr>
              <w:t xml:space="preserve"> 6 months)</w:t>
            </w:r>
          </w:p>
        </w:tc>
      </w:tr>
      <w:tr w:rsidR="00C07FE1" w:rsidTr="0047390F">
        <w:tc>
          <w:tcPr>
            <w:tcW w:w="7088" w:type="dxa"/>
            <w:tcBorders>
              <w:top w:val="single" w:sz="4" w:space="0" w:color="auto"/>
              <w:left w:val="single" w:sz="4" w:space="0" w:color="auto"/>
              <w:bottom w:val="single" w:sz="4" w:space="0" w:color="auto"/>
              <w:right w:val="single" w:sz="4" w:space="0" w:color="auto"/>
            </w:tcBorders>
          </w:tcPr>
          <w:p w:rsidR="0047390F" w:rsidRPr="00681F70" w:rsidRDefault="00EE7244" w:rsidP="00786A76">
            <w:pPr>
              <w:jc w:val="both"/>
              <w:rPr>
                <w:rFonts w:ascii="Arial" w:hAnsi="Arial" w:cs="Arial"/>
                <w:sz w:val="24"/>
                <w:szCs w:val="24"/>
              </w:rPr>
            </w:pPr>
            <w:r w:rsidRPr="00681F70">
              <w:rPr>
                <w:rFonts w:ascii="Arial" w:hAnsi="Arial" w:cs="Arial"/>
                <w:sz w:val="24"/>
                <w:szCs w:val="24"/>
              </w:rPr>
              <w:t>New businesses supported through BOOST</w:t>
            </w:r>
          </w:p>
        </w:tc>
        <w:tc>
          <w:tcPr>
            <w:tcW w:w="2127" w:type="dxa"/>
            <w:tcBorders>
              <w:top w:val="single" w:sz="4" w:space="0" w:color="auto"/>
              <w:left w:val="single" w:sz="4" w:space="0" w:color="auto"/>
              <w:bottom w:val="single" w:sz="4" w:space="0" w:color="auto"/>
              <w:right w:val="single" w:sz="4" w:space="0" w:color="auto"/>
            </w:tcBorders>
            <w:hideMark/>
          </w:tcPr>
          <w:p w:rsidR="0047390F" w:rsidRPr="00681F70" w:rsidRDefault="00EE7244" w:rsidP="00786A76">
            <w:pPr>
              <w:jc w:val="center"/>
              <w:rPr>
                <w:rFonts w:ascii="Arial" w:hAnsi="Arial" w:cs="Arial"/>
                <w:sz w:val="24"/>
                <w:szCs w:val="24"/>
              </w:rPr>
            </w:pPr>
            <w:r w:rsidRPr="00681F70">
              <w:rPr>
                <w:rFonts w:ascii="Arial" w:hAnsi="Arial" w:cs="Arial"/>
                <w:sz w:val="24"/>
                <w:szCs w:val="24"/>
              </w:rPr>
              <w:t>107</w:t>
            </w:r>
          </w:p>
        </w:tc>
      </w:tr>
      <w:tr w:rsidR="00C07FE1" w:rsidTr="0047390F">
        <w:tc>
          <w:tcPr>
            <w:tcW w:w="7088" w:type="dxa"/>
            <w:tcBorders>
              <w:top w:val="single" w:sz="4" w:space="0" w:color="auto"/>
              <w:left w:val="single" w:sz="4" w:space="0" w:color="auto"/>
              <w:bottom w:val="single" w:sz="4" w:space="0" w:color="auto"/>
              <w:right w:val="single" w:sz="4" w:space="0" w:color="auto"/>
            </w:tcBorders>
          </w:tcPr>
          <w:p w:rsidR="0047390F" w:rsidRPr="00681F70" w:rsidRDefault="00EE7244" w:rsidP="00786A76">
            <w:pPr>
              <w:jc w:val="both"/>
              <w:rPr>
                <w:rFonts w:ascii="Arial" w:hAnsi="Arial" w:cs="Arial"/>
                <w:sz w:val="24"/>
                <w:szCs w:val="24"/>
              </w:rPr>
            </w:pPr>
            <w:r w:rsidRPr="00681F70">
              <w:rPr>
                <w:rFonts w:ascii="Arial" w:hAnsi="Arial" w:cs="Arial"/>
                <w:sz w:val="24"/>
                <w:szCs w:val="24"/>
              </w:rPr>
              <w:t xml:space="preserve">Jobs created through BOOST business support </w:t>
            </w:r>
          </w:p>
        </w:tc>
        <w:tc>
          <w:tcPr>
            <w:tcW w:w="2127" w:type="dxa"/>
            <w:tcBorders>
              <w:top w:val="single" w:sz="4" w:space="0" w:color="auto"/>
              <w:left w:val="single" w:sz="4" w:space="0" w:color="auto"/>
              <w:bottom w:val="single" w:sz="4" w:space="0" w:color="auto"/>
              <w:right w:val="single" w:sz="4" w:space="0" w:color="auto"/>
            </w:tcBorders>
            <w:hideMark/>
          </w:tcPr>
          <w:p w:rsidR="0047390F" w:rsidRPr="00681F70" w:rsidRDefault="00EE7244" w:rsidP="00786A76">
            <w:pPr>
              <w:jc w:val="center"/>
              <w:rPr>
                <w:rFonts w:ascii="Arial" w:hAnsi="Arial" w:cs="Arial"/>
                <w:sz w:val="24"/>
                <w:szCs w:val="24"/>
              </w:rPr>
            </w:pPr>
            <w:r w:rsidRPr="00681F70">
              <w:rPr>
                <w:rFonts w:ascii="Arial" w:hAnsi="Arial" w:cs="Arial"/>
                <w:sz w:val="24"/>
                <w:szCs w:val="24"/>
              </w:rPr>
              <w:t>56</w:t>
            </w:r>
          </w:p>
        </w:tc>
      </w:tr>
    </w:tbl>
    <w:p w:rsidR="0047390F" w:rsidRPr="00681F70" w:rsidRDefault="00EE7244" w:rsidP="00786A76">
      <w:pPr>
        <w:spacing w:after="0" w:line="240" w:lineRule="auto"/>
        <w:jc w:val="both"/>
        <w:rPr>
          <w:rFonts w:ascii="Arial" w:hAnsi="Arial" w:cs="Arial"/>
          <w:sz w:val="20"/>
          <w:szCs w:val="20"/>
        </w:rPr>
      </w:pPr>
      <w:r w:rsidRPr="00681F70">
        <w:rPr>
          <w:rFonts w:ascii="Arial" w:hAnsi="Arial" w:cs="Arial"/>
          <w:sz w:val="20"/>
          <w:szCs w:val="20"/>
        </w:rPr>
        <w:t>Source: BOOST</w:t>
      </w:r>
    </w:p>
    <w:p w:rsidR="0047390F" w:rsidRPr="00681F70" w:rsidRDefault="0047390F" w:rsidP="00786A76">
      <w:pPr>
        <w:spacing w:after="0" w:line="240" w:lineRule="auto"/>
        <w:jc w:val="both"/>
        <w:rPr>
          <w:sz w:val="20"/>
          <w:szCs w:val="20"/>
        </w:rPr>
      </w:pPr>
    </w:p>
    <w:p w:rsidR="0047390F" w:rsidRPr="00681F70" w:rsidRDefault="0047390F" w:rsidP="00786A76">
      <w:pPr>
        <w:spacing w:after="0" w:line="240" w:lineRule="auto"/>
        <w:jc w:val="both"/>
        <w:rPr>
          <w:rFonts w:ascii="Arial" w:hAnsi="Arial" w:cs="Arial"/>
          <w:b/>
          <w:sz w:val="24"/>
          <w:szCs w:val="24"/>
        </w:rPr>
      </w:pPr>
    </w:p>
    <w:p w:rsidR="0047390F" w:rsidRPr="00681F70" w:rsidRDefault="00EE7244" w:rsidP="00786A76">
      <w:pPr>
        <w:spacing w:after="0" w:line="240" w:lineRule="auto"/>
        <w:ind w:left="-142"/>
        <w:rPr>
          <w:rFonts w:ascii="Arial" w:hAnsi="Arial" w:cs="Arial"/>
          <w:b/>
          <w:sz w:val="24"/>
          <w:szCs w:val="24"/>
        </w:rPr>
      </w:pPr>
      <w:r w:rsidRPr="00681F70">
        <w:rPr>
          <w:rFonts w:ascii="Arial" w:hAnsi="Arial" w:cs="Arial"/>
          <w:b/>
          <w:sz w:val="24"/>
          <w:szCs w:val="24"/>
        </w:rPr>
        <w:t>8.0 Skills and Employment</w:t>
      </w:r>
      <w:r w:rsidR="00786A76">
        <w:rPr>
          <w:rFonts w:ascii="Arial" w:hAnsi="Arial" w:cs="Arial"/>
          <w:b/>
          <w:sz w:val="24"/>
          <w:szCs w:val="24"/>
        </w:rPr>
        <w:t xml:space="preserve"> (A</w:t>
      </w:r>
      <w:r>
        <w:rPr>
          <w:rFonts w:ascii="Arial" w:hAnsi="Arial" w:cs="Arial"/>
          <w:b/>
          <w:sz w:val="24"/>
          <w:szCs w:val="24"/>
        </w:rPr>
        <w:t>ppendix 3)</w:t>
      </w:r>
    </w:p>
    <w:p w:rsidR="0047390F" w:rsidRPr="00681F70" w:rsidRDefault="0047390F" w:rsidP="00786A76">
      <w:pPr>
        <w:spacing w:after="0" w:line="240" w:lineRule="auto"/>
        <w:jc w:val="both"/>
        <w:rPr>
          <w:rFonts w:ascii="Arial" w:hAnsi="Arial" w:cs="Arial"/>
          <w:b/>
          <w:sz w:val="24"/>
          <w:szCs w:val="24"/>
        </w:rPr>
      </w:pPr>
    </w:p>
    <w:p w:rsidR="0047390F" w:rsidRPr="00681F70" w:rsidRDefault="00EE7244" w:rsidP="00786A76">
      <w:pPr>
        <w:spacing w:after="0" w:line="240" w:lineRule="auto"/>
        <w:ind w:left="284" w:hanging="426"/>
        <w:jc w:val="both"/>
        <w:rPr>
          <w:rFonts w:ascii="Arial" w:hAnsi="Arial" w:cs="Arial"/>
          <w:sz w:val="24"/>
          <w:szCs w:val="24"/>
        </w:rPr>
      </w:pPr>
      <w:r w:rsidRPr="00681F70">
        <w:rPr>
          <w:rFonts w:ascii="Arial" w:hAnsi="Arial" w:cs="Arial"/>
          <w:b/>
          <w:sz w:val="24"/>
          <w:szCs w:val="24"/>
        </w:rPr>
        <w:t xml:space="preserve">8.1 </w:t>
      </w:r>
      <w:r w:rsidRPr="00681F70">
        <w:rPr>
          <w:rFonts w:ascii="Arial" w:hAnsi="Arial" w:cs="Arial"/>
          <w:sz w:val="24"/>
          <w:szCs w:val="24"/>
        </w:rPr>
        <w:t xml:space="preserve">The key outputs in regard to skills and employment metrics are outlined in Table 1 below. For reference the period over which this data measures is the academic year 2017/18. In the main performance is in line with profiled delivery for outputs with some notable exceptions detailed below: </w:t>
      </w:r>
    </w:p>
    <w:p w:rsidR="0047390F" w:rsidRPr="00681F70" w:rsidRDefault="00EE7244" w:rsidP="00786A76">
      <w:pPr>
        <w:numPr>
          <w:ilvl w:val="0"/>
          <w:numId w:val="7"/>
        </w:numPr>
        <w:spacing w:after="0" w:line="240" w:lineRule="auto"/>
        <w:contextualSpacing/>
        <w:jc w:val="both"/>
        <w:rPr>
          <w:rFonts w:ascii="Arial" w:hAnsi="Arial" w:cs="Arial"/>
          <w:sz w:val="24"/>
          <w:szCs w:val="24"/>
        </w:rPr>
      </w:pPr>
      <w:r w:rsidRPr="00681F70">
        <w:rPr>
          <w:rFonts w:ascii="Arial" w:hAnsi="Arial" w:cs="Arial"/>
          <w:b/>
          <w:sz w:val="24"/>
          <w:szCs w:val="24"/>
        </w:rPr>
        <w:t>Apprenticeships – Key performance indicators No's 1 &amp; 2</w:t>
      </w:r>
      <w:r w:rsidRPr="00681F70">
        <w:rPr>
          <w:rFonts w:ascii="Arial" w:hAnsi="Arial" w:cs="Arial"/>
          <w:sz w:val="24"/>
          <w:szCs w:val="24"/>
        </w:rPr>
        <w:t xml:space="preserve">. Starts amongst the 16-24yr old group have increased again from those reported in 2016/17. In 2017/18 </w:t>
      </w:r>
      <w:r w:rsidRPr="00681F70">
        <w:rPr>
          <w:rFonts w:ascii="Arial" w:hAnsi="Arial" w:cs="Arial"/>
          <w:sz w:val="24"/>
          <w:szCs w:val="24"/>
        </w:rPr>
        <w:lastRenderedPageBreak/>
        <w:t>there were a total of 1,018 reported starts compared with a total of 875 starts in 2016/17. This is the fourth year in succession in which apprenticeship starts amongst this age group has registered an increased. These rises buck the national trend of declining numbers since the introduction of the apprenticeship levy and the introduction of the new apprenticeship standards.</w:t>
      </w:r>
    </w:p>
    <w:p w:rsidR="0047390F" w:rsidRPr="00681F70" w:rsidRDefault="00EE7244" w:rsidP="00786A76">
      <w:pPr>
        <w:spacing w:after="0" w:line="240" w:lineRule="auto"/>
        <w:ind w:left="360"/>
        <w:contextualSpacing/>
        <w:jc w:val="both"/>
        <w:rPr>
          <w:rFonts w:ascii="Arial" w:hAnsi="Arial" w:cs="Arial"/>
          <w:sz w:val="24"/>
          <w:szCs w:val="24"/>
        </w:rPr>
      </w:pPr>
      <w:r w:rsidRPr="00681F70">
        <w:rPr>
          <w:rFonts w:ascii="Arial" w:hAnsi="Arial" w:cs="Arial"/>
          <w:sz w:val="24"/>
          <w:szCs w:val="24"/>
        </w:rPr>
        <w:t xml:space="preserve">Apprenticeship starts in the construction sector in 2017/18 experienced an even greater year on year increase of 80% over the same period amongst the 16-24 cohort. </w:t>
      </w:r>
    </w:p>
    <w:p w:rsidR="0047390F" w:rsidRPr="00681F70" w:rsidRDefault="00EE7244" w:rsidP="00786A76">
      <w:pPr>
        <w:numPr>
          <w:ilvl w:val="0"/>
          <w:numId w:val="7"/>
        </w:numPr>
        <w:spacing w:after="0" w:line="240" w:lineRule="auto"/>
        <w:contextualSpacing/>
        <w:jc w:val="both"/>
        <w:rPr>
          <w:rFonts w:ascii="Arial" w:hAnsi="Arial" w:cs="Arial"/>
          <w:sz w:val="24"/>
          <w:szCs w:val="24"/>
        </w:rPr>
      </w:pPr>
      <w:r w:rsidRPr="00681F70">
        <w:rPr>
          <w:rFonts w:ascii="Arial" w:hAnsi="Arial" w:cs="Arial"/>
          <w:b/>
          <w:sz w:val="24"/>
          <w:szCs w:val="24"/>
        </w:rPr>
        <w:t>Graduate Destinations – Key performance indicators No's 3 &amp; 4.</w:t>
      </w:r>
      <w:r w:rsidRPr="00681F70">
        <w:rPr>
          <w:rFonts w:ascii="Arial" w:hAnsi="Arial" w:cs="Arial"/>
          <w:sz w:val="24"/>
          <w:szCs w:val="24"/>
        </w:rPr>
        <w:t xml:space="preserve"> There was a rise reported in the number of graduates across the City Deal area securing positions in the construction and engineering sectors from 78 reported in the 2015/16 academic year to 85 in 2016/17, the last year that data is available. </w:t>
      </w:r>
    </w:p>
    <w:p w:rsidR="0047390F" w:rsidRPr="00681F70" w:rsidRDefault="00EE7244" w:rsidP="00786A76">
      <w:pPr>
        <w:spacing w:after="0" w:line="240" w:lineRule="auto"/>
        <w:ind w:left="360"/>
        <w:contextualSpacing/>
        <w:jc w:val="both"/>
        <w:rPr>
          <w:rFonts w:ascii="Arial" w:hAnsi="Arial" w:cs="Arial"/>
          <w:sz w:val="24"/>
          <w:szCs w:val="24"/>
        </w:rPr>
      </w:pPr>
      <w:r w:rsidRPr="00681F70">
        <w:rPr>
          <w:rFonts w:ascii="Arial" w:hAnsi="Arial" w:cs="Arial"/>
          <w:sz w:val="24"/>
          <w:szCs w:val="24"/>
        </w:rPr>
        <w:t>The number of graduates securing graduate level positions across all sectors registered a slight fall over the corresponding period.</w:t>
      </w:r>
    </w:p>
    <w:p w:rsidR="0047390F" w:rsidRPr="00681F70" w:rsidRDefault="00EE7244" w:rsidP="00786A76">
      <w:pPr>
        <w:spacing w:after="0" w:line="240" w:lineRule="auto"/>
        <w:ind w:left="360"/>
        <w:contextualSpacing/>
        <w:jc w:val="both"/>
        <w:rPr>
          <w:rFonts w:ascii="Arial" w:hAnsi="Arial" w:cs="Arial"/>
          <w:sz w:val="24"/>
          <w:szCs w:val="24"/>
        </w:rPr>
      </w:pPr>
      <w:r w:rsidRPr="00681F70">
        <w:rPr>
          <w:rFonts w:ascii="Arial" w:hAnsi="Arial" w:cs="Arial"/>
          <w:sz w:val="24"/>
          <w:szCs w:val="24"/>
        </w:rPr>
        <w:t>Future reporting on student destination metrics will be impacted due a change of HESE reporting cycles moving from 6 month after graduation to 13 months.</w:t>
      </w:r>
    </w:p>
    <w:p w:rsidR="0047390F" w:rsidRPr="00681F70" w:rsidRDefault="00EE7244" w:rsidP="00786A76">
      <w:pPr>
        <w:numPr>
          <w:ilvl w:val="0"/>
          <w:numId w:val="7"/>
        </w:numPr>
        <w:spacing w:after="0" w:line="240" w:lineRule="auto"/>
        <w:contextualSpacing/>
        <w:jc w:val="both"/>
        <w:rPr>
          <w:rFonts w:ascii="Arial" w:hAnsi="Arial" w:cs="Arial"/>
          <w:sz w:val="24"/>
          <w:szCs w:val="24"/>
        </w:rPr>
      </w:pPr>
      <w:r w:rsidRPr="00681F70">
        <w:rPr>
          <w:rFonts w:ascii="Arial" w:hAnsi="Arial" w:cs="Arial"/>
          <w:b/>
          <w:sz w:val="24"/>
          <w:szCs w:val="24"/>
        </w:rPr>
        <w:t>Undergraduate Science Technology Engineering and Maths Starts – Key performance indicators No 6.</w:t>
      </w:r>
      <w:r w:rsidRPr="00681F70">
        <w:rPr>
          <w:rFonts w:ascii="Arial" w:hAnsi="Arial" w:cs="Arial"/>
          <w:sz w:val="24"/>
          <w:szCs w:val="24"/>
        </w:rPr>
        <w:t xml:space="preserve"> There was marked rise in the number of new students enrolling on STEM and construction undergraduate programmes from 2,146 in 2015/16 to 3,120 in 2016/17, representing a 45% year on year increase. This is significantly above target for STEM undergraduate starts for the year.</w:t>
      </w:r>
    </w:p>
    <w:p w:rsidR="0047390F" w:rsidRPr="00681F70" w:rsidRDefault="00EE7244" w:rsidP="00786A76">
      <w:pPr>
        <w:numPr>
          <w:ilvl w:val="0"/>
          <w:numId w:val="7"/>
        </w:numPr>
        <w:spacing w:after="0" w:line="240" w:lineRule="auto"/>
        <w:contextualSpacing/>
        <w:jc w:val="both"/>
        <w:rPr>
          <w:rFonts w:ascii="Arial" w:hAnsi="Arial" w:cs="Arial"/>
          <w:sz w:val="24"/>
          <w:szCs w:val="24"/>
        </w:rPr>
      </w:pPr>
      <w:r w:rsidRPr="00681F70">
        <w:rPr>
          <w:rFonts w:ascii="Arial" w:hAnsi="Arial" w:cs="Arial"/>
          <w:b/>
          <w:sz w:val="24"/>
          <w:szCs w:val="24"/>
        </w:rPr>
        <w:t>DWP Claimant Count – Key performance indicators No 7.</w:t>
      </w:r>
      <w:r w:rsidRPr="00681F70">
        <w:rPr>
          <w:rFonts w:ascii="Arial" w:hAnsi="Arial" w:cs="Arial"/>
          <w:sz w:val="24"/>
          <w:szCs w:val="24"/>
        </w:rPr>
        <w:t xml:space="preserve"> Jobseeker's Allowance (JSA) and Universal Credit (UC) claimants have again experienced year on year increase against a general back drop of static unemployment. The implementation of Universal Credit requires a broader span of claimants to look for work than under Jobseeker's Allowance. The further roll out of Universal Credit has no doubt impacted on the Claimant Counts over the period being reported.</w:t>
      </w:r>
    </w:p>
    <w:p w:rsidR="0047390F" w:rsidRPr="00D86BE7" w:rsidRDefault="00EE7244" w:rsidP="00786A76">
      <w:pPr>
        <w:numPr>
          <w:ilvl w:val="0"/>
          <w:numId w:val="7"/>
        </w:numPr>
        <w:spacing w:after="0" w:line="240" w:lineRule="auto"/>
        <w:contextualSpacing/>
        <w:jc w:val="both"/>
        <w:rPr>
          <w:rFonts w:ascii="Arial" w:hAnsi="Arial" w:cs="Arial"/>
          <w:sz w:val="24"/>
          <w:szCs w:val="24"/>
        </w:rPr>
      </w:pPr>
      <w:r w:rsidRPr="00D86BE7">
        <w:rPr>
          <w:rFonts w:ascii="Arial" w:hAnsi="Arial" w:cs="Arial"/>
          <w:b/>
          <w:sz w:val="24"/>
          <w:szCs w:val="24"/>
        </w:rPr>
        <w:t>Careers Engagement – Key performance indicators No 8.</w:t>
      </w:r>
      <w:r w:rsidRPr="00D86BE7">
        <w:rPr>
          <w:rFonts w:ascii="Arial" w:hAnsi="Arial" w:cs="Arial"/>
          <w:sz w:val="24"/>
          <w:szCs w:val="24"/>
        </w:rPr>
        <w:t xml:space="preserve"> The number of interventions/ activities promoting City Deal and construction career opportunities with the City Deal area has continued on a positive trajectory. Partners have been active in delivering a wide range of activities directly with schools, a selection of which are highlighted in the case studies provided along with this report. Of these there have been a number of successes including the 'Bridge the Gap' STEM Challenge commissioned by the Lancashire Enterprise Partnership and the Truck Trail – 'Routes to Success' programme in the South Ribble area. </w:t>
      </w:r>
    </w:p>
    <w:p w:rsidR="0047390F" w:rsidRPr="00681F70" w:rsidRDefault="0047390F" w:rsidP="00786A76">
      <w:pPr>
        <w:spacing w:after="0" w:line="240" w:lineRule="auto"/>
        <w:jc w:val="both"/>
        <w:rPr>
          <w:rFonts w:ascii="Arial" w:hAnsi="Arial" w:cs="Arial"/>
          <w:sz w:val="24"/>
          <w:szCs w:val="24"/>
        </w:rPr>
      </w:pPr>
    </w:p>
    <w:p w:rsidR="0047390F" w:rsidRPr="00681F70" w:rsidRDefault="00EE7244" w:rsidP="00786A76">
      <w:pPr>
        <w:spacing w:after="0" w:line="240" w:lineRule="auto"/>
        <w:jc w:val="both"/>
        <w:rPr>
          <w:rFonts w:ascii="Arial" w:hAnsi="Arial" w:cs="Arial"/>
          <w:sz w:val="24"/>
          <w:szCs w:val="24"/>
        </w:rPr>
      </w:pPr>
      <w:r w:rsidRPr="00681F70">
        <w:rPr>
          <w:rFonts w:ascii="Arial" w:hAnsi="Arial" w:cs="Arial"/>
          <w:sz w:val="24"/>
          <w:szCs w:val="24"/>
        </w:rPr>
        <w:t>Table 6 below provides a breakdown of the skills and employment targets and outputs.</w:t>
      </w:r>
    </w:p>
    <w:p w:rsidR="0047390F" w:rsidRPr="00681F70" w:rsidRDefault="0047390F" w:rsidP="00786A76">
      <w:pPr>
        <w:spacing w:after="0" w:line="240" w:lineRule="auto"/>
        <w:jc w:val="both"/>
        <w:rPr>
          <w:rFonts w:ascii="Arial" w:hAnsi="Arial" w:cs="Arial"/>
          <w:sz w:val="24"/>
          <w:szCs w:val="24"/>
        </w:rPr>
      </w:pPr>
    </w:p>
    <w:p w:rsidR="0047390F" w:rsidRPr="00681F70" w:rsidRDefault="00EE7244" w:rsidP="00786A76">
      <w:pPr>
        <w:spacing w:after="0" w:line="240" w:lineRule="auto"/>
        <w:ind w:left="426" w:hanging="426"/>
        <w:jc w:val="both"/>
        <w:rPr>
          <w:rFonts w:ascii="Arial" w:hAnsi="Arial" w:cs="Arial"/>
          <w:sz w:val="24"/>
          <w:szCs w:val="24"/>
        </w:rPr>
      </w:pPr>
      <w:r w:rsidRPr="00681F70">
        <w:rPr>
          <w:rFonts w:ascii="Arial" w:hAnsi="Arial" w:cs="Arial"/>
          <w:sz w:val="24"/>
          <w:szCs w:val="24"/>
        </w:rPr>
        <w:t xml:space="preserve">8.2 The City Deal Employment &amp; Skills Steering Group continues to play a key role in coordinating activity aimed providing the training and skills to enable local residents to benefit from the opportunities generated through the City Deal investment. </w:t>
      </w:r>
    </w:p>
    <w:p w:rsidR="0047390F" w:rsidRPr="00681F70" w:rsidRDefault="0047390F" w:rsidP="00786A76">
      <w:pPr>
        <w:spacing w:after="0" w:line="240" w:lineRule="auto"/>
        <w:ind w:left="360"/>
        <w:contextualSpacing/>
        <w:jc w:val="both"/>
        <w:rPr>
          <w:rFonts w:ascii="Arial" w:hAnsi="Arial" w:cs="Arial"/>
          <w:sz w:val="24"/>
          <w:szCs w:val="24"/>
        </w:rPr>
      </w:pPr>
    </w:p>
    <w:p w:rsidR="0047390F" w:rsidRPr="00681F70" w:rsidRDefault="00EE7244" w:rsidP="00786A76">
      <w:pPr>
        <w:spacing w:after="0" w:line="240" w:lineRule="auto"/>
        <w:ind w:left="567" w:hanging="567"/>
        <w:jc w:val="both"/>
        <w:rPr>
          <w:rFonts w:ascii="Arial" w:hAnsi="Arial" w:cs="Arial"/>
          <w:sz w:val="24"/>
          <w:szCs w:val="24"/>
        </w:rPr>
      </w:pPr>
      <w:r w:rsidRPr="00681F70">
        <w:rPr>
          <w:rFonts w:ascii="Arial" w:hAnsi="Arial" w:cs="Arial"/>
          <w:sz w:val="24"/>
          <w:szCs w:val="24"/>
        </w:rPr>
        <w:t xml:space="preserve">8.3   Unfortunately we have been notified that a joint Lancashire bid submitted in September 2018 for the Department for Education/Construction Industry Training Board Construction Skills Fund has been unsuccessful. This was a joint bid made up of 15 providers from across Lancashire the with Preston's College acting as </w:t>
      </w:r>
      <w:r w:rsidRPr="00681F70">
        <w:rPr>
          <w:rFonts w:ascii="Arial" w:hAnsi="Arial" w:cs="Arial"/>
          <w:sz w:val="24"/>
          <w:szCs w:val="24"/>
        </w:rPr>
        <w:lastRenderedPageBreak/>
        <w:t>the lead provider in pulling together responses and collating the bid narrative/content. More detailed feedback on the bid will be provided in due course.</w:t>
      </w:r>
    </w:p>
    <w:p w:rsidR="0047390F" w:rsidRPr="00681F70" w:rsidRDefault="0047390F" w:rsidP="00786A76">
      <w:pPr>
        <w:spacing w:after="0" w:line="240" w:lineRule="auto"/>
        <w:ind w:left="360"/>
        <w:contextualSpacing/>
        <w:jc w:val="both"/>
        <w:rPr>
          <w:rFonts w:ascii="Arial" w:hAnsi="Arial" w:cs="Arial"/>
          <w:sz w:val="24"/>
          <w:szCs w:val="24"/>
        </w:rPr>
      </w:pPr>
    </w:p>
    <w:p w:rsidR="0047390F" w:rsidRPr="00681F70" w:rsidRDefault="00EE7244" w:rsidP="00786A76">
      <w:pPr>
        <w:spacing w:after="0" w:line="240" w:lineRule="auto"/>
        <w:ind w:left="567" w:hanging="567"/>
        <w:contextualSpacing/>
        <w:jc w:val="both"/>
        <w:rPr>
          <w:rFonts w:ascii="Arial" w:hAnsi="Arial" w:cs="Arial"/>
          <w:sz w:val="24"/>
          <w:szCs w:val="24"/>
        </w:rPr>
      </w:pPr>
      <w:r w:rsidRPr="00681F70">
        <w:rPr>
          <w:rFonts w:ascii="Arial" w:hAnsi="Arial" w:cs="Arial"/>
          <w:sz w:val="24"/>
          <w:szCs w:val="24"/>
        </w:rPr>
        <w:t xml:space="preserve">8.4   The 'Bridge the Gap' programme has continued to go from strength to strength. Developed in partnership with STEMFirst the activity aimed at Year 8 and 9 pupils has been designed to shine a light on the wide range of STEM and construction careers being created across the City Deal area. A total of 43 staff have been trained with 963 pupils spread across 15 schools benefiting from the programme. </w:t>
      </w:r>
    </w:p>
    <w:p w:rsidR="0047390F" w:rsidRPr="00681F70" w:rsidRDefault="00EE7244" w:rsidP="00786A76">
      <w:pPr>
        <w:spacing w:after="0" w:line="240" w:lineRule="auto"/>
        <w:ind w:left="360"/>
        <w:contextualSpacing/>
        <w:jc w:val="both"/>
        <w:rPr>
          <w:rFonts w:ascii="Arial" w:hAnsi="Arial" w:cs="Arial"/>
          <w:sz w:val="24"/>
          <w:szCs w:val="24"/>
        </w:rPr>
      </w:pPr>
      <w:r w:rsidRPr="00681F70">
        <w:rPr>
          <w:rFonts w:ascii="Arial" w:hAnsi="Arial" w:cs="Arial"/>
          <w:sz w:val="24"/>
          <w:szCs w:val="24"/>
        </w:rPr>
        <w:t xml:space="preserve"> </w:t>
      </w:r>
    </w:p>
    <w:p w:rsidR="0047390F" w:rsidRPr="00681F70" w:rsidRDefault="00EE7244" w:rsidP="00786A76">
      <w:pPr>
        <w:spacing w:after="0" w:line="240" w:lineRule="auto"/>
        <w:ind w:left="426" w:hanging="426"/>
        <w:contextualSpacing/>
        <w:jc w:val="both"/>
        <w:rPr>
          <w:rFonts w:ascii="Arial" w:hAnsi="Arial" w:cs="Arial"/>
          <w:sz w:val="24"/>
          <w:szCs w:val="24"/>
        </w:rPr>
      </w:pPr>
      <w:r w:rsidRPr="00681F70">
        <w:rPr>
          <w:rFonts w:ascii="Arial" w:hAnsi="Arial" w:cs="Arial"/>
          <w:sz w:val="24"/>
          <w:szCs w:val="24"/>
        </w:rPr>
        <w:t>8.5 A range of hands-on Science Technology Engineering and Maths Challenges have been produced as part of the Truck Trail programme all with educational sessions being rolled out across Leyland and South Ribble primary and secondary schools. The Routes to Success programme, comprising an interactive board game and accompanying materials, was conceived to highlight the variety of career opportunities that fall under the STEM banner. From an initial pilot of 9 schools the programme has now engaged with a total of 1,148 pupils from right across the South Ribble area.</w:t>
      </w:r>
    </w:p>
    <w:p w:rsidR="0047390F" w:rsidRPr="00681F70" w:rsidRDefault="0047390F" w:rsidP="00786A76">
      <w:pPr>
        <w:spacing w:after="0" w:line="240" w:lineRule="auto"/>
        <w:ind w:left="720"/>
        <w:contextualSpacing/>
        <w:jc w:val="both"/>
        <w:rPr>
          <w:rFonts w:ascii="Arial" w:hAnsi="Arial" w:cs="Arial"/>
          <w:sz w:val="24"/>
          <w:szCs w:val="24"/>
        </w:rPr>
      </w:pPr>
    </w:p>
    <w:p w:rsidR="0047390F" w:rsidRPr="00681F70" w:rsidRDefault="00EE7244" w:rsidP="00786A76">
      <w:pPr>
        <w:spacing w:after="0" w:line="240" w:lineRule="auto"/>
        <w:ind w:left="426" w:hanging="426"/>
        <w:jc w:val="both"/>
        <w:rPr>
          <w:rFonts w:ascii="Arial" w:hAnsi="Arial" w:cs="Arial"/>
          <w:sz w:val="24"/>
          <w:szCs w:val="24"/>
        </w:rPr>
      </w:pPr>
      <w:r w:rsidRPr="00681F70">
        <w:rPr>
          <w:rFonts w:ascii="Arial" w:hAnsi="Arial" w:cs="Arial"/>
          <w:sz w:val="24"/>
          <w:szCs w:val="24"/>
        </w:rPr>
        <w:t xml:space="preserve">8.6  The City Deal Skills and Employment Steering Group are currently developing a marketing prospectus to build on the Invest Central Lancashire brochure in marketing the Skills and Employment offer. The business facing prospectus will highlight the Skills and Employment offer across the City Deal area and will focus on key target sector provision. </w:t>
      </w:r>
    </w:p>
    <w:p w:rsidR="0047390F" w:rsidRPr="00681F70" w:rsidRDefault="0047390F" w:rsidP="00786A76">
      <w:pPr>
        <w:spacing w:after="0" w:line="240" w:lineRule="auto"/>
        <w:ind w:left="360"/>
        <w:contextualSpacing/>
        <w:jc w:val="both"/>
        <w:rPr>
          <w:rFonts w:ascii="Arial" w:hAnsi="Arial" w:cs="Arial"/>
          <w:sz w:val="24"/>
          <w:szCs w:val="24"/>
        </w:rPr>
      </w:pPr>
    </w:p>
    <w:p w:rsidR="0047390F" w:rsidRDefault="00EE7244" w:rsidP="00786A76">
      <w:pPr>
        <w:spacing w:after="0" w:line="240" w:lineRule="auto"/>
        <w:ind w:left="426" w:hanging="426"/>
        <w:jc w:val="both"/>
        <w:rPr>
          <w:rFonts w:ascii="Arial" w:hAnsi="Arial" w:cs="Arial"/>
          <w:sz w:val="24"/>
          <w:szCs w:val="24"/>
        </w:rPr>
      </w:pPr>
      <w:r w:rsidRPr="00681F70">
        <w:rPr>
          <w:rFonts w:ascii="Arial" w:eastAsiaTheme="minorEastAsia" w:hAnsi="Arial" w:cs="Arial"/>
          <w:sz w:val="24"/>
          <w:szCs w:val="24"/>
          <w:lang w:eastAsia="en-GB"/>
        </w:rPr>
        <w:t>8.7 Martin Hill has now been appointed to the position of City Deal Skills and Employment Coordinator and took up post with the Lancashire Skills &amp; Employment Hub on the 20</w:t>
      </w:r>
      <w:r w:rsidRPr="00681F70">
        <w:rPr>
          <w:rFonts w:ascii="Arial" w:eastAsiaTheme="minorEastAsia" w:hAnsi="Arial" w:cs="Arial"/>
          <w:sz w:val="24"/>
          <w:szCs w:val="24"/>
          <w:vertAlign w:val="superscript"/>
          <w:lang w:eastAsia="en-GB"/>
        </w:rPr>
        <w:t>th</w:t>
      </w:r>
      <w:r w:rsidRPr="00681F70">
        <w:rPr>
          <w:rFonts w:ascii="Arial" w:eastAsiaTheme="minorEastAsia" w:hAnsi="Arial" w:cs="Arial"/>
          <w:sz w:val="24"/>
          <w:szCs w:val="24"/>
          <w:lang w:eastAsia="en-GB"/>
        </w:rPr>
        <w:t xml:space="preserve"> August. This role will</w:t>
      </w:r>
      <w:r w:rsidRPr="00681F70">
        <w:rPr>
          <w:rFonts w:ascii="Arial" w:hAnsi="Arial" w:cs="Arial"/>
          <w:sz w:val="24"/>
          <w:szCs w:val="24"/>
        </w:rPr>
        <w:t xml:space="preserve"> support the embedding of employment and skills across the City Deal area through liaison with developers and occupiers, relevant groups and leads within the City Deal Skills and Employment Governance structure, the Local Planning Authority and other relevant partners. </w:t>
      </w:r>
    </w:p>
    <w:p w:rsidR="0047390F" w:rsidRDefault="0047390F" w:rsidP="00786A76">
      <w:pPr>
        <w:spacing w:after="0" w:line="240" w:lineRule="auto"/>
        <w:ind w:left="426" w:hanging="426"/>
        <w:jc w:val="both"/>
        <w:rPr>
          <w:rFonts w:ascii="Arial" w:hAnsi="Arial" w:cs="Arial"/>
          <w:sz w:val="24"/>
          <w:szCs w:val="24"/>
        </w:rPr>
      </w:pPr>
    </w:p>
    <w:p w:rsidR="00786A76" w:rsidRDefault="00786A76">
      <w:pPr>
        <w:rPr>
          <w:rFonts w:ascii="Arial" w:hAnsi="Arial" w:cs="Arial"/>
          <w:sz w:val="24"/>
          <w:szCs w:val="24"/>
        </w:rPr>
      </w:pPr>
      <w:r>
        <w:rPr>
          <w:rFonts w:ascii="Arial" w:hAnsi="Arial" w:cs="Arial"/>
          <w:sz w:val="24"/>
          <w:szCs w:val="24"/>
        </w:rPr>
        <w:br w:type="page"/>
      </w:r>
    </w:p>
    <w:p w:rsidR="0047390F" w:rsidRPr="00681F70" w:rsidRDefault="00EE7244" w:rsidP="00786A76">
      <w:pPr>
        <w:spacing w:after="0" w:line="240" w:lineRule="auto"/>
        <w:rPr>
          <w:rFonts w:ascii="Arial" w:hAnsi="Arial" w:cs="Arial"/>
          <w:b/>
          <w:sz w:val="24"/>
          <w:szCs w:val="24"/>
          <w:u w:val="single"/>
        </w:rPr>
      </w:pPr>
      <w:r w:rsidRPr="00681F70">
        <w:rPr>
          <w:rFonts w:ascii="Arial" w:hAnsi="Arial" w:cs="Arial"/>
          <w:b/>
          <w:sz w:val="24"/>
          <w:szCs w:val="24"/>
          <w:u w:val="single"/>
        </w:rPr>
        <w:lastRenderedPageBreak/>
        <w:t>Table 6:  Skills and Employment metrics</w:t>
      </w:r>
    </w:p>
    <w:p w:rsidR="0047390F" w:rsidRPr="00681F70" w:rsidRDefault="0047390F" w:rsidP="00786A76">
      <w:pPr>
        <w:spacing w:after="0" w:line="240" w:lineRule="auto"/>
        <w:ind w:left="284" w:hanging="426"/>
        <w:rPr>
          <w:rFonts w:ascii="Arial" w:hAnsi="Arial" w:cs="Arial"/>
          <w:b/>
          <w:sz w:val="24"/>
          <w:szCs w:val="24"/>
        </w:rPr>
      </w:pPr>
    </w:p>
    <w:tbl>
      <w:tblPr>
        <w:tblW w:w="5000" w:type="pct"/>
        <w:tblLook w:val="04A0" w:firstRow="1" w:lastRow="0" w:firstColumn="1" w:lastColumn="0" w:noHBand="0" w:noVBand="1"/>
      </w:tblPr>
      <w:tblGrid>
        <w:gridCol w:w="2339"/>
        <w:gridCol w:w="972"/>
        <w:gridCol w:w="848"/>
        <w:gridCol w:w="848"/>
        <w:gridCol w:w="822"/>
        <w:gridCol w:w="779"/>
        <w:gridCol w:w="728"/>
        <w:gridCol w:w="822"/>
        <w:gridCol w:w="848"/>
      </w:tblGrid>
      <w:tr w:rsidR="00C07FE1" w:rsidTr="0047390F">
        <w:trPr>
          <w:trHeight w:val="300"/>
          <w:tblHeader/>
        </w:trPr>
        <w:tc>
          <w:tcPr>
            <w:tcW w:w="1304" w:type="pct"/>
            <w:tcBorders>
              <w:top w:val="single" w:sz="8" w:space="0" w:color="auto"/>
              <w:left w:val="single" w:sz="8" w:space="0" w:color="auto"/>
              <w:bottom w:val="nil"/>
              <w:right w:val="single" w:sz="8" w:space="0" w:color="auto"/>
            </w:tcBorders>
            <w:shd w:val="clear" w:color="auto" w:fill="F2F2F2"/>
            <w:vAlign w:val="center"/>
            <w:hideMark/>
          </w:tcPr>
          <w:p w:rsidR="0047390F" w:rsidRPr="00681F70" w:rsidRDefault="00EE7244" w:rsidP="00786A76">
            <w:pPr>
              <w:spacing w:after="0" w:line="240" w:lineRule="auto"/>
              <w:rPr>
                <w:rFonts w:ascii="Arial" w:eastAsia="Times New Roman" w:hAnsi="Arial" w:cs="Arial"/>
                <w:b/>
                <w:bCs/>
                <w:color w:val="000000"/>
                <w:sz w:val="16"/>
                <w:szCs w:val="16"/>
                <w:lang w:eastAsia="en-GB"/>
              </w:rPr>
            </w:pPr>
            <w:r w:rsidRPr="00681F70">
              <w:rPr>
                <w:rFonts w:ascii="Arial" w:eastAsia="Times New Roman" w:hAnsi="Arial" w:cs="Arial"/>
                <w:b/>
                <w:bCs/>
                <w:color w:val="000000"/>
                <w:sz w:val="16"/>
                <w:szCs w:val="16"/>
                <w:lang w:eastAsia="en-GB"/>
              </w:rPr>
              <w:t>Output</w:t>
            </w:r>
          </w:p>
        </w:tc>
        <w:tc>
          <w:tcPr>
            <w:tcW w:w="539" w:type="pct"/>
            <w:tcBorders>
              <w:top w:val="single" w:sz="8" w:space="0" w:color="auto"/>
              <w:left w:val="nil"/>
              <w:bottom w:val="nil"/>
              <w:right w:val="nil"/>
            </w:tcBorders>
            <w:shd w:val="clear" w:color="auto" w:fill="F2F2F2"/>
            <w:vAlign w:val="center"/>
            <w:hideMark/>
          </w:tcPr>
          <w:p w:rsidR="0047390F" w:rsidRPr="00681F70" w:rsidRDefault="00EE7244" w:rsidP="00786A76">
            <w:pPr>
              <w:spacing w:after="0" w:line="240" w:lineRule="auto"/>
              <w:rPr>
                <w:rFonts w:ascii="Arial" w:eastAsia="Times New Roman" w:hAnsi="Arial" w:cs="Arial"/>
                <w:b/>
                <w:bCs/>
                <w:color w:val="000000"/>
                <w:sz w:val="16"/>
                <w:szCs w:val="16"/>
                <w:lang w:eastAsia="en-GB"/>
              </w:rPr>
            </w:pPr>
            <w:r w:rsidRPr="00681F70">
              <w:rPr>
                <w:rFonts w:ascii="Arial" w:eastAsia="Times New Roman" w:hAnsi="Arial" w:cs="Arial"/>
                <w:b/>
                <w:bCs/>
                <w:color w:val="000000"/>
                <w:sz w:val="16"/>
                <w:szCs w:val="16"/>
                <w:lang w:eastAsia="en-GB"/>
              </w:rPr>
              <w:t>Baseline:</w:t>
            </w:r>
          </w:p>
        </w:tc>
        <w:tc>
          <w:tcPr>
            <w:tcW w:w="462" w:type="pct"/>
            <w:tcBorders>
              <w:top w:val="single" w:sz="8" w:space="0" w:color="auto"/>
              <w:left w:val="single" w:sz="8" w:space="0" w:color="auto"/>
              <w:bottom w:val="nil"/>
              <w:right w:val="nil"/>
            </w:tcBorders>
            <w:shd w:val="clear" w:color="auto" w:fill="F2F2F2"/>
            <w:vAlign w:val="center"/>
            <w:hideMark/>
          </w:tcPr>
          <w:p w:rsidR="0047390F" w:rsidRPr="00681F70" w:rsidRDefault="00EE7244" w:rsidP="00786A76">
            <w:pPr>
              <w:spacing w:after="0" w:line="240" w:lineRule="auto"/>
              <w:rPr>
                <w:rFonts w:ascii="Arial" w:eastAsia="Times New Roman" w:hAnsi="Arial" w:cs="Arial"/>
                <w:b/>
                <w:bCs/>
                <w:color w:val="000000"/>
                <w:sz w:val="16"/>
                <w:szCs w:val="16"/>
                <w:lang w:eastAsia="en-GB"/>
              </w:rPr>
            </w:pPr>
            <w:r w:rsidRPr="00681F70">
              <w:rPr>
                <w:rFonts w:ascii="Arial" w:eastAsia="Times New Roman" w:hAnsi="Arial" w:cs="Arial"/>
                <w:b/>
                <w:bCs/>
                <w:color w:val="000000"/>
                <w:sz w:val="16"/>
                <w:szCs w:val="16"/>
                <w:lang w:eastAsia="en-GB"/>
              </w:rPr>
              <w:t>Year 1*</w:t>
            </w:r>
          </w:p>
        </w:tc>
        <w:tc>
          <w:tcPr>
            <w:tcW w:w="462" w:type="pct"/>
            <w:tcBorders>
              <w:top w:val="single" w:sz="8" w:space="0" w:color="auto"/>
              <w:left w:val="single" w:sz="8" w:space="0" w:color="auto"/>
              <w:bottom w:val="nil"/>
              <w:right w:val="nil"/>
            </w:tcBorders>
            <w:shd w:val="clear" w:color="auto" w:fill="F2F2F2"/>
            <w:vAlign w:val="center"/>
            <w:hideMark/>
          </w:tcPr>
          <w:p w:rsidR="0047390F" w:rsidRPr="00681F70" w:rsidRDefault="00EE7244" w:rsidP="00786A76">
            <w:pPr>
              <w:spacing w:after="0" w:line="240" w:lineRule="auto"/>
              <w:rPr>
                <w:rFonts w:ascii="Arial" w:eastAsia="Times New Roman" w:hAnsi="Arial" w:cs="Arial"/>
                <w:b/>
                <w:bCs/>
                <w:color w:val="000000"/>
                <w:sz w:val="16"/>
                <w:szCs w:val="16"/>
                <w:lang w:eastAsia="en-GB"/>
              </w:rPr>
            </w:pPr>
            <w:r w:rsidRPr="00681F70">
              <w:rPr>
                <w:rFonts w:ascii="Arial" w:eastAsia="Times New Roman" w:hAnsi="Arial" w:cs="Arial"/>
                <w:b/>
                <w:bCs/>
                <w:color w:val="000000"/>
                <w:sz w:val="16"/>
                <w:szCs w:val="16"/>
                <w:lang w:eastAsia="en-GB"/>
              </w:rPr>
              <w:t>Year 2 *</w:t>
            </w:r>
          </w:p>
        </w:tc>
        <w:tc>
          <w:tcPr>
            <w:tcW w:w="462" w:type="pct"/>
            <w:tcBorders>
              <w:top w:val="single" w:sz="8" w:space="0" w:color="auto"/>
              <w:left w:val="single" w:sz="8" w:space="0" w:color="auto"/>
              <w:bottom w:val="nil"/>
              <w:right w:val="nil"/>
            </w:tcBorders>
            <w:shd w:val="clear" w:color="auto" w:fill="F2F2F2"/>
            <w:vAlign w:val="center"/>
            <w:hideMark/>
          </w:tcPr>
          <w:p w:rsidR="0047390F" w:rsidRPr="00681F70" w:rsidRDefault="00EE7244" w:rsidP="00786A76">
            <w:pPr>
              <w:spacing w:after="0" w:line="240" w:lineRule="auto"/>
              <w:rPr>
                <w:rFonts w:ascii="Arial" w:eastAsia="Times New Roman" w:hAnsi="Arial" w:cs="Arial"/>
                <w:b/>
                <w:bCs/>
                <w:color w:val="000000"/>
                <w:sz w:val="16"/>
                <w:szCs w:val="16"/>
                <w:lang w:eastAsia="en-GB"/>
              </w:rPr>
            </w:pPr>
            <w:r w:rsidRPr="00681F70">
              <w:rPr>
                <w:rFonts w:ascii="Arial" w:eastAsia="Times New Roman" w:hAnsi="Arial" w:cs="Arial"/>
                <w:b/>
                <w:bCs/>
                <w:color w:val="000000"/>
                <w:sz w:val="16"/>
                <w:szCs w:val="16"/>
                <w:lang w:eastAsia="en-GB"/>
              </w:rPr>
              <w:t>Year 3 *</w:t>
            </w:r>
          </w:p>
        </w:tc>
        <w:tc>
          <w:tcPr>
            <w:tcW w:w="848" w:type="pct"/>
            <w:gridSpan w:val="2"/>
            <w:vMerge w:val="restart"/>
            <w:tcBorders>
              <w:top w:val="single" w:sz="8" w:space="0" w:color="auto"/>
              <w:left w:val="single" w:sz="8" w:space="0" w:color="auto"/>
              <w:bottom w:val="single" w:sz="8" w:space="0" w:color="auto"/>
              <w:right w:val="single" w:sz="8" w:space="0" w:color="000000"/>
            </w:tcBorders>
            <w:shd w:val="clear" w:color="auto" w:fill="F2F2F2"/>
            <w:vAlign w:val="center"/>
            <w:hideMark/>
          </w:tcPr>
          <w:p w:rsidR="0047390F" w:rsidRPr="00681F70" w:rsidRDefault="00EE7244" w:rsidP="00786A76">
            <w:pPr>
              <w:spacing w:after="0" w:line="240" w:lineRule="auto"/>
              <w:jc w:val="center"/>
              <w:rPr>
                <w:rFonts w:ascii="Arial" w:eastAsia="Times New Roman" w:hAnsi="Arial" w:cs="Arial"/>
                <w:b/>
                <w:bCs/>
                <w:color w:val="000000"/>
                <w:sz w:val="16"/>
                <w:szCs w:val="16"/>
                <w:lang w:eastAsia="en-GB"/>
              </w:rPr>
            </w:pPr>
            <w:r w:rsidRPr="00681F70">
              <w:rPr>
                <w:rFonts w:ascii="Arial" w:eastAsia="Times New Roman" w:hAnsi="Arial" w:cs="Arial"/>
                <w:b/>
                <w:bCs/>
                <w:color w:val="000000"/>
                <w:sz w:val="16"/>
                <w:szCs w:val="16"/>
                <w:lang w:eastAsia="en-GB"/>
              </w:rPr>
              <w:t>Year 4 *</w:t>
            </w:r>
          </w:p>
        </w:tc>
        <w:tc>
          <w:tcPr>
            <w:tcW w:w="923" w:type="pct"/>
            <w:gridSpan w:val="2"/>
            <w:vMerge w:val="restart"/>
            <w:tcBorders>
              <w:top w:val="single" w:sz="8" w:space="0" w:color="auto"/>
              <w:left w:val="single" w:sz="8" w:space="0" w:color="auto"/>
              <w:bottom w:val="single" w:sz="8" w:space="0" w:color="auto"/>
              <w:right w:val="single" w:sz="8" w:space="0" w:color="000000"/>
            </w:tcBorders>
            <w:shd w:val="clear" w:color="auto" w:fill="F2F2F2"/>
            <w:vAlign w:val="center"/>
            <w:hideMark/>
          </w:tcPr>
          <w:p w:rsidR="0047390F" w:rsidRPr="00681F70" w:rsidRDefault="00EE7244" w:rsidP="00786A76">
            <w:pPr>
              <w:spacing w:after="0" w:line="240" w:lineRule="auto"/>
              <w:jc w:val="center"/>
              <w:rPr>
                <w:rFonts w:ascii="Arial" w:eastAsia="Times New Roman" w:hAnsi="Arial" w:cs="Arial"/>
                <w:b/>
                <w:bCs/>
                <w:color w:val="000000"/>
                <w:sz w:val="16"/>
                <w:szCs w:val="16"/>
                <w:lang w:eastAsia="en-GB"/>
              </w:rPr>
            </w:pPr>
            <w:r w:rsidRPr="00681F70">
              <w:rPr>
                <w:rFonts w:ascii="Arial" w:eastAsia="Times New Roman" w:hAnsi="Arial" w:cs="Arial"/>
                <w:b/>
                <w:bCs/>
                <w:color w:val="000000"/>
                <w:sz w:val="16"/>
                <w:szCs w:val="16"/>
                <w:lang w:eastAsia="en-GB"/>
              </w:rPr>
              <w:t>Year 5*</w:t>
            </w:r>
          </w:p>
        </w:tc>
      </w:tr>
      <w:tr w:rsidR="00C07FE1" w:rsidTr="0047390F">
        <w:trPr>
          <w:trHeight w:val="315"/>
          <w:tblHeader/>
        </w:trPr>
        <w:tc>
          <w:tcPr>
            <w:tcW w:w="1304" w:type="pct"/>
            <w:tcBorders>
              <w:top w:val="nil"/>
              <w:left w:val="single" w:sz="8" w:space="0" w:color="auto"/>
              <w:bottom w:val="nil"/>
              <w:right w:val="single" w:sz="8" w:space="0" w:color="auto"/>
            </w:tcBorders>
            <w:shd w:val="clear" w:color="auto" w:fill="F2F2F2"/>
            <w:vAlign w:val="center"/>
            <w:hideMark/>
          </w:tcPr>
          <w:p w:rsidR="0047390F" w:rsidRPr="00681F70" w:rsidRDefault="00EE7244" w:rsidP="00786A76">
            <w:pPr>
              <w:spacing w:after="0" w:line="240" w:lineRule="auto"/>
              <w:rPr>
                <w:rFonts w:ascii="Arial" w:eastAsia="Times New Roman" w:hAnsi="Arial" w:cs="Arial"/>
                <w:b/>
                <w:bCs/>
                <w:color w:val="000000"/>
                <w:sz w:val="16"/>
                <w:szCs w:val="16"/>
                <w:lang w:eastAsia="en-GB"/>
              </w:rPr>
            </w:pPr>
            <w:r w:rsidRPr="00681F70">
              <w:rPr>
                <w:rFonts w:ascii="Arial" w:eastAsia="Times New Roman" w:hAnsi="Arial" w:cs="Arial"/>
                <w:b/>
                <w:bCs/>
                <w:color w:val="000000"/>
                <w:sz w:val="16"/>
                <w:szCs w:val="16"/>
                <w:lang w:eastAsia="en-GB"/>
              </w:rPr>
              <w:t> </w:t>
            </w:r>
          </w:p>
        </w:tc>
        <w:tc>
          <w:tcPr>
            <w:tcW w:w="539" w:type="pct"/>
            <w:vMerge w:val="restart"/>
            <w:tcBorders>
              <w:top w:val="nil"/>
              <w:left w:val="single" w:sz="8" w:space="0" w:color="auto"/>
              <w:bottom w:val="single" w:sz="4" w:space="0" w:color="auto"/>
              <w:right w:val="single" w:sz="8" w:space="0" w:color="auto"/>
            </w:tcBorders>
            <w:shd w:val="clear" w:color="auto" w:fill="F2F2F2"/>
            <w:vAlign w:val="center"/>
            <w:hideMark/>
          </w:tcPr>
          <w:p w:rsidR="0047390F" w:rsidRPr="00681F70" w:rsidRDefault="00EE7244" w:rsidP="00786A76">
            <w:pPr>
              <w:spacing w:after="0" w:line="240" w:lineRule="auto"/>
              <w:jc w:val="center"/>
              <w:rPr>
                <w:rFonts w:ascii="Arial" w:eastAsia="Times New Roman" w:hAnsi="Arial" w:cs="Arial"/>
                <w:b/>
                <w:bCs/>
                <w:color w:val="000000"/>
                <w:sz w:val="16"/>
                <w:szCs w:val="16"/>
                <w:lang w:eastAsia="en-GB"/>
              </w:rPr>
            </w:pPr>
            <w:r w:rsidRPr="00681F70">
              <w:rPr>
                <w:rFonts w:ascii="Arial" w:eastAsia="Times New Roman" w:hAnsi="Arial" w:cs="Arial"/>
                <w:b/>
                <w:bCs/>
                <w:color w:val="000000"/>
                <w:sz w:val="16"/>
                <w:szCs w:val="16"/>
                <w:lang w:eastAsia="en-GB"/>
              </w:rPr>
              <w:t>Academic Year 2012/13</w:t>
            </w:r>
          </w:p>
        </w:tc>
        <w:tc>
          <w:tcPr>
            <w:tcW w:w="462" w:type="pct"/>
            <w:tcBorders>
              <w:top w:val="nil"/>
              <w:left w:val="nil"/>
              <w:bottom w:val="single" w:sz="8" w:space="0" w:color="auto"/>
              <w:right w:val="single" w:sz="8" w:space="0" w:color="auto"/>
            </w:tcBorders>
            <w:shd w:val="clear" w:color="auto" w:fill="F2F2F2"/>
            <w:vAlign w:val="center"/>
            <w:hideMark/>
          </w:tcPr>
          <w:p w:rsidR="0047390F" w:rsidRPr="00681F70" w:rsidRDefault="00EE7244" w:rsidP="00786A76">
            <w:pPr>
              <w:spacing w:after="0" w:line="240" w:lineRule="auto"/>
              <w:rPr>
                <w:rFonts w:ascii="Arial" w:eastAsia="Times New Roman" w:hAnsi="Arial" w:cs="Arial"/>
                <w:b/>
                <w:bCs/>
                <w:color w:val="000000"/>
                <w:sz w:val="16"/>
                <w:szCs w:val="16"/>
                <w:lang w:eastAsia="en-GB"/>
              </w:rPr>
            </w:pPr>
            <w:r w:rsidRPr="00681F70">
              <w:rPr>
                <w:rFonts w:ascii="Arial" w:eastAsia="Times New Roman" w:hAnsi="Arial" w:cs="Arial"/>
                <w:b/>
                <w:bCs/>
                <w:color w:val="000000"/>
                <w:sz w:val="16"/>
                <w:szCs w:val="16"/>
                <w:lang w:eastAsia="en-GB"/>
              </w:rPr>
              <w:t> </w:t>
            </w:r>
          </w:p>
        </w:tc>
        <w:tc>
          <w:tcPr>
            <w:tcW w:w="462" w:type="pct"/>
            <w:tcBorders>
              <w:top w:val="nil"/>
              <w:left w:val="nil"/>
              <w:bottom w:val="single" w:sz="8" w:space="0" w:color="auto"/>
              <w:right w:val="single" w:sz="8" w:space="0" w:color="auto"/>
            </w:tcBorders>
            <w:shd w:val="clear" w:color="auto" w:fill="F2F2F2"/>
            <w:vAlign w:val="center"/>
            <w:hideMark/>
          </w:tcPr>
          <w:p w:rsidR="0047390F" w:rsidRPr="00681F70" w:rsidRDefault="00EE7244" w:rsidP="00786A76">
            <w:pPr>
              <w:spacing w:after="0" w:line="240" w:lineRule="auto"/>
              <w:rPr>
                <w:rFonts w:ascii="Arial" w:eastAsia="Times New Roman" w:hAnsi="Arial" w:cs="Arial"/>
                <w:b/>
                <w:bCs/>
                <w:color w:val="000000"/>
                <w:sz w:val="16"/>
                <w:szCs w:val="16"/>
                <w:lang w:eastAsia="en-GB"/>
              </w:rPr>
            </w:pPr>
            <w:r w:rsidRPr="00681F70">
              <w:rPr>
                <w:rFonts w:ascii="Arial" w:eastAsia="Times New Roman" w:hAnsi="Arial" w:cs="Arial"/>
                <w:b/>
                <w:bCs/>
                <w:color w:val="000000"/>
                <w:sz w:val="16"/>
                <w:szCs w:val="16"/>
                <w:lang w:eastAsia="en-GB"/>
              </w:rPr>
              <w:t> </w:t>
            </w:r>
          </w:p>
        </w:tc>
        <w:tc>
          <w:tcPr>
            <w:tcW w:w="462" w:type="pct"/>
            <w:tcBorders>
              <w:top w:val="nil"/>
              <w:left w:val="nil"/>
              <w:bottom w:val="single" w:sz="8" w:space="0" w:color="auto"/>
              <w:right w:val="single" w:sz="8" w:space="0" w:color="auto"/>
            </w:tcBorders>
            <w:shd w:val="clear" w:color="auto" w:fill="F2F2F2"/>
            <w:vAlign w:val="center"/>
            <w:hideMark/>
          </w:tcPr>
          <w:p w:rsidR="0047390F" w:rsidRPr="00681F70" w:rsidRDefault="00EE7244" w:rsidP="00786A76">
            <w:pPr>
              <w:spacing w:after="0" w:line="240" w:lineRule="auto"/>
              <w:rPr>
                <w:rFonts w:ascii="Arial" w:eastAsia="Times New Roman" w:hAnsi="Arial" w:cs="Arial"/>
                <w:b/>
                <w:bCs/>
                <w:color w:val="000000"/>
                <w:sz w:val="16"/>
                <w:szCs w:val="16"/>
                <w:lang w:eastAsia="en-GB"/>
              </w:rPr>
            </w:pPr>
            <w:r w:rsidRPr="00681F70">
              <w:rPr>
                <w:rFonts w:ascii="Arial" w:eastAsia="Times New Roman" w:hAnsi="Arial" w:cs="Arial"/>
                <w:b/>
                <w:bCs/>
                <w:color w:val="000000"/>
                <w:sz w:val="16"/>
                <w:szCs w:val="16"/>
                <w:lang w:eastAsia="en-GB"/>
              </w:rPr>
              <w:t> </w:t>
            </w:r>
          </w:p>
        </w:tc>
        <w:tc>
          <w:tcPr>
            <w:tcW w:w="0" w:type="auto"/>
            <w:gridSpan w:val="2"/>
            <w:vMerge/>
            <w:tcBorders>
              <w:top w:val="nil"/>
              <w:left w:val="nil"/>
              <w:bottom w:val="single" w:sz="8" w:space="0" w:color="auto"/>
              <w:right w:val="single" w:sz="8" w:space="0" w:color="auto"/>
            </w:tcBorders>
            <w:vAlign w:val="center"/>
            <w:hideMark/>
          </w:tcPr>
          <w:p w:rsidR="0047390F" w:rsidRPr="00681F70" w:rsidRDefault="0047390F" w:rsidP="00786A76">
            <w:pPr>
              <w:spacing w:after="0" w:line="240" w:lineRule="auto"/>
              <w:rPr>
                <w:rFonts w:ascii="Arial" w:eastAsia="Times New Roman" w:hAnsi="Arial" w:cs="Arial"/>
                <w:b/>
                <w:bCs/>
                <w:color w:val="000000"/>
                <w:sz w:val="16"/>
                <w:szCs w:val="16"/>
                <w:lang w:eastAsia="en-GB"/>
              </w:rPr>
            </w:pPr>
          </w:p>
        </w:tc>
        <w:tc>
          <w:tcPr>
            <w:tcW w:w="0" w:type="auto"/>
            <w:gridSpan w:val="2"/>
            <w:vMerge/>
            <w:tcBorders>
              <w:top w:val="nil"/>
              <w:left w:val="nil"/>
              <w:bottom w:val="single" w:sz="8" w:space="0" w:color="auto"/>
              <w:right w:val="single" w:sz="8" w:space="0" w:color="auto"/>
            </w:tcBorders>
            <w:vAlign w:val="center"/>
            <w:hideMark/>
          </w:tcPr>
          <w:p w:rsidR="0047390F" w:rsidRPr="00681F70" w:rsidRDefault="0047390F" w:rsidP="00786A76">
            <w:pPr>
              <w:spacing w:after="0" w:line="240" w:lineRule="auto"/>
              <w:rPr>
                <w:rFonts w:ascii="Arial" w:eastAsia="Times New Roman" w:hAnsi="Arial" w:cs="Arial"/>
                <w:b/>
                <w:bCs/>
                <w:color w:val="000000"/>
                <w:sz w:val="16"/>
                <w:szCs w:val="16"/>
                <w:lang w:eastAsia="en-GB"/>
              </w:rPr>
            </w:pPr>
          </w:p>
        </w:tc>
      </w:tr>
      <w:tr w:rsidR="00C07FE1" w:rsidTr="0047390F">
        <w:trPr>
          <w:trHeight w:val="315"/>
          <w:tblHeader/>
        </w:trPr>
        <w:tc>
          <w:tcPr>
            <w:tcW w:w="1304" w:type="pct"/>
            <w:tcBorders>
              <w:top w:val="nil"/>
              <w:left w:val="single" w:sz="8" w:space="0" w:color="auto"/>
              <w:bottom w:val="nil"/>
              <w:right w:val="single" w:sz="8" w:space="0" w:color="auto"/>
            </w:tcBorders>
            <w:shd w:val="clear" w:color="auto" w:fill="F2F2F2"/>
            <w:vAlign w:val="center"/>
            <w:hideMark/>
          </w:tcPr>
          <w:p w:rsidR="0047390F" w:rsidRPr="00681F70" w:rsidRDefault="00EE7244" w:rsidP="00786A76">
            <w:pPr>
              <w:spacing w:after="0" w:line="240" w:lineRule="auto"/>
              <w:rPr>
                <w:rFonts w:ascii="Arial" w:eastAsia="Times New Roman" w:hAnsi="Arial" w:cs="Arial"/>
                <w:b/>
                <w:bCs/>
                <w:color w:val="000000"/>
                <w:sz w:val="16"/>
                <w:szCs w:val="16"/>
                <w:lang w:eastAsia="en-GB"/>
              </w:rPr>
            </w:pPr>
            <w:r w:rsidRPr="00681F70">
              <w:rPr>
                <w:rFonts w:ascii="Arial" w:eastAsia="Times New Roman" w:hAnsi="Arial" w:cs="Arial"/>
                <w:b/>
                <w:bCs/>
                <w:color w:val="000000"/>
                <w:sz w:val="16"/>
                <w:szCs w:val="16"/>
                <w:lang w:eastAsia="en-GB"/>
              </w:rPr>
              <w:t> </w:t>
            </w:r>
          </w:p>
        </w:tc>
        <w:tc>
          <w:tcPr>
            <w:tcW w:w="0" w:type="auto"/>
            <w:vMerge/>
            <w:tcBorders>
              <w:top w:val="nil"/>
              <w:left w:val="single" w:sz="8" w:space="0" w:color="auto"/>
              <w:bottom w:val="single" w:sz="4" w:space="0" w:color="auto"/>
              <w:right w:val="single" w:sz="8" w:space="0" w:color="auto"/>
            </w:tcBorders>
            <w:vAlign w:val="center"/>
            <w:hideMark/>
          </w:tcPr>
          <w:p w:rsidR="0047390F" w:rsidRPr="00681F70" w:rsidRDefault="0047390F" w:rsidP="00786A76">
            <w:pPr>
              <w:spacing w:after="0" w:line="240" w:lineRule="auto"/>
              <w:rPr>
                <w:rFonts w:ascii="Arial" w:eastAsia="Times New Roman" w:hAnsi="Arial" w:cs="Arial"/>
                <w:b/>
                <w:bCs/>
                <w:color w:val="000000"/>
                <w:sz w:val="16"/>
                <w:szCs w:val="16"/>
                <w:lang w:eastAsia="en-GB"/>
              </w:rPr>
            </w:pPr>
          </w:p>
        </w:tc>
        <w:tc>
          <w:tcPr>
            <w:tcW w:w="462" w:type="pct"/>
            <w:tcBorders>
              <w:top w:val="nil"/>
              <w:left w:val="nil"/>
              <w:bottom w:val="single" w:sz="8" w:space="0" w:color="auto"/>
              <w:right w:val="nil"/>
            </w:tcBorders>
            <w:shd w:val="clear" w:color="auto" w:fill="F2F2F2"/>
            <w:vAlign w:val="center"/>
            <w:hideMark/>
          </w:tcPr>
          <w:p w:rsidR="0047390F" w:rsidRPr="00681F70" w:rsidRDefault="00EE7244" w:rsidP="00786A76">
            <w:pPr>
              <w:spacing w:after="0" w:line="240" w:lineRule="auto"/>
              <w:rPr>
                <w:rFonts w:ascii="Arial" w:eastAsia="Times New Roman" w:hAnsi="Arial" w:cs="Arial"/>
                <w:b/>
                <w:bCs/>
                <w:color w:val="000000"/>
                <w:sz w:val="16"/>
                <w:szCs w:val="16"/>
                <w:lang w:eastAsia="en-GB"/>
              </w:rPr>
            </w:pPr>
            <w:r w:rsidRPr="00681F70">
              <w:rPr>
                <w:rFonts w:ascii="Arial" w:eastAsia="Times New Roman" w:hAnsi="Arial" w:cs="Arial"/>
                <w:b/>
                <w:bCs/>
                <w:color w:val="000000"/>
                <w:sz w:val="16"/>
                <w:szCs w:val="16"/>
                <w:lang w:eastAsia="en-GB"/>
              </w:rPr>
              <w:t>2013/14</w:t>
            </w:r>
          </w:p>
        </w:tc>
        <w:tc>
          <w:tcPr>
            <w:tcW w:w="462" w:type="pct"/>
            <w:tcBorders>
              <w:top w:val="nil"/>
              <w:left w:val="single" w:sz="8" w:space="0" w:color="auto"/>
              <w:bottom w:val="single" w:sz="8" w:space="0" w:color="auto"/>
              <w:right w:val="nil"/>
            </w:tcBorders>
            <w:shd w:val="clear" w:color="auto" w:fill="F2F2F2"/>
            <w:vAlign w:val="center"/>
            <w:hideMark/>
          </w:tcPr>
          <w:p w:rsidR="0047390F" w:rsidRPr="00681F70" w:rsidRDefault="00EE7244" w:rsidP="00786A76">
            <w:pPr>
              <w:spacing w:after="0" w:line="240" w:lineRule="auto"/>
              <w:rPr>
                <w:rFonts w:ascii="Arial" w:eastAsia="Times New Roman" w:hAnsi="Arial" w:cs="Arial"/>
                <w:b/>
                <w:bCs/>
                <w:color w:val="000000"/>
                <w:sz w:val="16"/>
                <w:szCs w:val="16"/>
                <w:lang w:eastAsia="en-GB"/>
              </w:rPr>
            </w:pPr>
            <w:r w:rsidRPr="00681F70">
              <w:rPr>
                <w:rFonts w:ascii="Arial" w:eastAsia="Times New Roman" w:hAnsi="Arial" w:cs="Arial"/>
                <w:b/>
                <w:bCs/>
                <w:color w:val="000000"/>
                <w:sz w:val="16"/>
                <w:szCs w:val="16"/>
                <w:lang w:eastAsia="en-GB"/>
              </w:rPr>
              <w:t>2014/15</w:t>
            </w:r>
          </w:p>
        </w:tc>
        <w:tc>
          <w:tcPr>
            <w:tcW w:w="462" w:type="pct"/>
            <w:tcBorders>
              <w:top w:val="nil"/>
              <w:left w:val="single" w:sz="8" w:space="0" w:color="auto"/>
              <w:bottom w:val="single" w:sz="8" w:space="0" w:color="auto"/>
              <w:right w:val="nil"/>
            </w:tcBorders>
            <w:shd w:val="clear" w:color="auto" w:fill="F2F2F2"/>
            <w:vAlign w:val="center"/>
            <w:hideMark/>
          </w:tcPr>
          <w:p w:rsidR="0047390F" w:rsidRPr="00681F70" w:rsidRDefault="00EE7244" w:rsidP="00786A76">
            <w:pPr>
              <w:spacing w:after="0" w:line="240" w:lineRule="auto"/>
              <w:rPr>
                <w:rFonts w:ascii="Arial" w:eastAsia="Times New Roman" w:hAnsi="Arial" w:cs="Arial"/>
                <w:b/>
                <w:bCs/>
                <w:color w:val="000000"/>
                <w:sz w:val="16"/>
                <w:szCs w:val="16"/>
                <w:lang w:eastAsia="en-GB"/>
              </w:rPr>
            </w:pPr>
            <w:r w:rsidRPr="00681F70">
              <w:rPr>
                <w:rFonts w:ascii="Arial" w:eastAsia="Times New Roman" w:hAnsi="Arial" w:cs="Arial"/>
                <w:b/>
                <w:bCs/>
                <w:color w:val="000000"/>
                <w:sz w:val="16"/>
                <w:szCs w:val="16"/>
                <w:lang w:eastAsia="en-GB"/>
              </w:rPr>
              <w:t>2015/16</w:t>
            </w:r>
          </w:p>
        </w:tc>
        <w:tc>
          <w:tcPr>
            <w:tcW w:w="848" w:type="pct"/>
            <w:gridSpan w:val="2"/>
            <w:tcBorders>
              <w:top w:val="nil"/>
              <w:left w:val="single" w:sz="8" w:space="0" w:color="auto"/>
              <w:bottom w:val="single" w:sz="8" w:space="0" w:color="auto"/>
              <w:right w:val="single" w:sz="8" w:space="0" w:color="000000"/>
            </w:tcBorders>
            <w:shd w:val="clear" w:color="auto" w:fill="F2F2F2"/>
            <w:vAlign w:val="center"/>
            <w:hideMark/>
          </w:tcPr>
          <w:p w:rsidR="0047390F" w:rsidRPr="00681F70" w:rsidRDefault="00EE7244" w:rsidP="00786A76">
            <w:pPr>
              <w:spacing w:after="0" w:line="240" w:lineRule="auto"/>
              <w:jc w:val="center"/>
              <w:rPr>
                <w:rFonts w:ascii="Arial" w:eastAsia="Times New Roman" w:hAnsi="Arial" w:cs="Arial"/>
                <w:b/>
                <w:bCs/>
                <w:color w:val="000000"/>
                <w:sz w:val="16"/>
                <w:szCs w:val="16"/>
                <w:lang w:eastAsia="en-GB"/>
              </w:rPr>
            </w:pPr>
            <w:r w:rsidRPr="00681F70">
              <w:rPr>
                <w:rFonts w:ascii="Arial" w:eastAsia="Times New Roman" w:hAnsi="Arial" w:cs="Arial"/>
                <w:b/>
                <w:bCs/>
                <w:color w:val="000000"/>
                <w:sz w:val="16"/>
                <w:szCs w:val="16"/>
                <w:lang w:eastAsia="en-GB"/>
              </w:rPr>
              <w:t>2016/17</w:t>
            </w:r>
          </w:p>
        </w:tc>
        <w:tc>
          <w:tcPr>
            <w:tcW w:w="923" w:type="pct"/>
            <w:gridSpan w:val="2"/>
            <w:tcBorders>
              <w:top w:val="nil"/>
              <w:left w:val="nil"/>
              <w:bottom w:val="single" w:sz="8" w:space="0" w:color="auto"/>
              <w:right w:val="single" w:sz="8" w:space="0" w:color="000000"/>
            </w:tcBorders>
            <w:shd w:val="clear" w:color="auto" w:fill="F2F2F2"/>
            <w:vAlign w:val="center"/>
            <w:hideMark/>
          </w:tcPr>
          <w:p w:rsidR="0047390F" w:rsidRPr="00681F70" w:rsidRDefault="00EE7244" w:rsidP="00786A76">
            <w:pPr>
              <w:spacing w:after="0" w:line="240" w:lineRule="auto"/>
              <w:jc w:val="center"/>
              <w:rPr>
                <w:rFonts w:ascii="Arial" w:eastAsia="Times New Roman" w:hAnsi="Arial" w:cs="Arial"/>
                <w:b/>
                <w:bCs/>
                <w:color w:val="000000"/>
                <w:sz w:val="16"/>
                <w:szCs w:val="16"/>
                <w:lang w:eastAsia="en-GB"/>
              </w:rPr>
            </w:pPr>
            <w:r w:rsidRPr="00681F70">
              <w:rPr>
                <w:rFonts w:ascii="Arial" w:eastAsia="Times New Roman" w:hAnsi="Arial" w:cs="Arial"/>
                <w:b/>
                <w:bCs/>
                <w:color w:val="000000"/>
                <w:sz w:val="16"/>
                <w:szCs w:val="16"/>
                <w:lang w:eastAsia="en-GB"/>
              </w:rPr>
              <w:t>2017/18</w:t>
            </w:r>
          </w:p>
        </w:tc>
      </w:tr>
      <w:tr w:rsidR="00C07FE1" w:rsidTr="0047390F">
        <w:trPr>
          <w:trHeight w:val="315"/>
          <w:tblHeader/>
        </w:trPr>
        <w:tc>
          <w:tcPr>
            <w:tcW w:w="1304" w:type="pct"/>
            <w:tcBorders>
              <w:top w:val="nil"/>
              <w:left w:val="single" w:sz="8" w:space="0" w:color="auto"/>
              <w:bottom w:val="single" w:sz="4" w:space="0" w:color="auto"/>
              <w:right w:val="single" w:sz="8" w:space="0" w:color="auto"/>
            </w:tcBorders>
            <w:shd w:val="clear" w:color="auto" w:fill="F2F2F2"/>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*refers to academic year</w:t>
            </w:r>
          </w:p>
        </w:tc>
        <w:tc>
          <w:tcPr>
            <w:tcW w:w="0" w:type="auto"/>
            <w:vMerge/>
            <w:tcBorders>
              <w:top w:val="nil"/>
              <w:left w:val="single" w:sz="8" w:space="0" w:color="auto"/>
              <w:bottom w:val="single" w:sz="4" w:space="0" w:color="auto"/>
              <w:right w:val="single" w:sz="8" w:space="0" w:color="auto"/>
            </w:tcBorders>
            <w:vAlign w:val="center"/>
            <w:hideMark/>
          </w:tcPr>
          <w:p w:rsidR="0047390F" w:rsidRPr="00681F70" w:rsidRDefault="0047390F" w:rsidP="00786A76">
            <w:pPr>
              <w:spacing w:after="0" w:line="240" w:lineRule="auto"/>
              <w:rPr>
                <w:rFonts w:ascii="Arial" w:eastAsia="Times New Roman" w:hAnsi="Arial" w:cs="Arial"/>
                <w:b/>
                <w:bCs/>
                <w:color w:val="000000"/>
                <w:sz w:val="16"/>
                <w:szCs w:val="16"/>
                <w:lang w:eastAsia="en-GB"/>
              </w:rPr>
            </w:pPr>
          </w:p>
        </w:tc>
        <w:tc>
          <w:tcPr>
            <w:tcW w:w="462" w:type="pct"/>
            <w:tcBorders>
              <w:top w:val="nil"/>
              <w:left w:val="nil"/>
              <w:bottom w:val="single" w:sz="4" w:space="0" w:color="auto"/>
              <w:right w:val="single" w:sz="8" w:space="0" w:color="auto"/>
            </w:tcBorders>
            <w:shd w:val="clear" w:color="auto" w:fill="F2F2F2"/>
            <w:vAlign w:val="center"/>
            <w:hideMark/>
          </w:tcPr>
          <w:p w:rsidR="0047390F" w:rsidRPr="00681F70" w:rsidRDefault="00EE7244" w:rsidP="00786A76">
            <w:pPr>
              <w:spacing w:after="0" w:line="240" w:lineRule="auto"/>
              <w:rPr>
                <w:rFonts w:ascii="Arial" w:eastAsia="Times New Roman" w:hAnsi="Arial" w:cs="Arial"/>
                <w:b/>
                <w:bCs/>
                <w:color w:val="000000"/>
                <w:sz w:val="16"/>
                <w:szCs w:val="16"/>
                <w:lang w:eastAsia="en-GB"/>
              </w:rPr>
            </w:pPr>
            <w:r w:rsidRPr="00681F70">
              <w:rPr>
                <w:rFonts w:ascii="Arial" w:eastAsia="Times New Roman" w:hAnsi="Arial" w:cs="Arial"/>
                <w:b/>
                <w:bCs/>
                <w:color w:val="000000"/>
                <w:sz w:val="16"/>
                <w:szCs w:val="16"/>
                <w:lang w:eastAsia="en-GB"/>
              </w:rPr>
              <w:t xml:space="preserve">Actual </w:t>
            </w:r>
          </w:p>
        </w:tc>
        <w:tc>
          <w:tcPr>
            <w:tcW w:w="462" w:type="pct"/>
            <w:tcBorders>
              <w:top w:val="nil"/>
              <w:left w:val="nil"/>
              <w:bottom w:val="single" w:sz="4" w:space="0" w:color="auto"/>
              <w:right w:val="single" w:sz="8" w:space="0" w:color="auto"/>
            </w:tcBorders>
            <w:shd w:val="clear" w:color="auto" w:fill="F2F2F2"/>
            <w:vAlign w:val="center"/>
            <w:hideMark/>
          </w:tcPr>
          <w:p w:rsidR="0047390F" w:rsidRPr="00681F70" w:rsidRDefault="00EE7244" w:rsidP="00786A76">
            <w:pPr>
              <w:spacing w:after="0" w:line="240" w:lineRule="auto"/>
              <w:rPr>
                <w:rFonts w:ascii="Arial" w:eastAsia="Times New Roman" w:hAnsi="Arial" w:cs="Arial"/>
                <w:b/>
                <w:bCs/>
                <w:color w:val="000000"/>
                <w:sz w:val="16"/>
                <w:szCs w:val="16"/>
                <w:lang w:eastAsia="en-GB"/>
              </w:rPr>
            </w:pPr>
            <w:r w:rsidRPr="00681F70">
              <w:rPr>
                <w:rFonts w:ascii="Arial" w:eastAsia="Times New Roman" w:hAnsi="Arial" w:cs="Arial"/>
                <w:b/>
                <w:bCs/>
                <w:color w:val="000000"/>
                <w:sz w:val="16"/>
                <w:szCs w:val="16"/>
                <w:lang w:eastAsia="en-GB"/>
              </w:rPr>
              <w:t xml:space="preserve">Actual </w:t>
            </w:r>
          </w:p>
        </w:tc>
        <w:tc>
          <w:tcPr>
            <w:tcW w:w="462" w:type="pct"/>
            <w:tcBorders>
              <w:top w:val="nil"/>
              <w:left w:val="nil"/>
              <w:bottom w:val="single" w:sz="4" w:space="0" w:color="auto"/>
              <w:right w:val="single" w:sz="8" w:space="0" w:color="auto"/>
            </w:tcBorders>
            <w:shd w:val="clear" w:color="auto" w:fill="F2F2F2"/>
            <w:vAlign w:val="center"/>
            <w:hideMark/>
          </w:tcPr>
          <w:p w:rsidR="0047390F" w:rsidRPr="00681F70" w:rsidRDefault="00EE7244" w:rsidP="00786A76">
            <w:pPr>
              <w:spacing w:after="0" w:line="240" w:lineRule="auto"/>
              <w:rPr>
                <w:rFonts w:ascii="Arial" w:eastAsia="Times New Roman" w:hAnsi="Arial" w:cs="Arial"/>
                <w:b/>
                <w:bCs/>
                <w:color w:val="000000"/>
                <w:sz w:val="16"/>
                <w:szCs w:val="16"/>
                <w:lang w:eastAsia="en-GB"/>
              </w:rPr>
            </w:pPr>
            <w:r w:rsidRPr="00681F70">
              <w:rPr>
                <w:rFonts w:ascii="Arial" w:eastAsia="Times New Roman" w:hAnsi="Arial" w:cs="Arial"/>
                <w:b/>
                <w:bCs/>
                <w:color w:val="000000"/>
                <w:sz w:val="16"/>
                <w:szCs w:val="16"/>
                <w:lang w:eastAsia="en-GB"/>
              </w:rPr>
              <w:t xml:space="preserve">Actual </w:t>
            </w:r>
          </w:p>
        </w:tc>
        <w:tc>
          <w:tcPr>
            <w:tcW w:w="438" w:type="pct"/>
            <w:tcBorders>
              <w:top w:val="nil"/>
              <w:left w:val="nil"/>
              <w:bottom w:val="single" w:sz="4" w:space="0" w:color="auto"/>
              <w:right w:val="single" w:sz="8" w:space="0" w:color="auto"/>
            </w:tcBorders>
            <w:shd w:val="clear" w:color="auto" w:fill="F2F2F2"/>
            <w:vAlign w:val="center"/>
            <w:hideMark/>
          </w:tcPr>
          <w:p w:rsidR="0047390F" w:rsidRPr="00681F70" w:rsidRDefault="00EE7244" w:rsidP="00786A76">
            <w:pPr>
              <w:spacing w:after="0" w:line="240" w:lineRule="auto"/>
              <w:rPr>
                <w:rFonts w:ascii="Arial" w:eastAsia="Times New Roman" w:hAnsi="Arial" w:cs="Arial"/>
                <w:b/>
                <w:bCs/>
                <w:color w:val="000000"/>
                <w:sz w:val="16"/>
                <w:szCs w:val="16"/>
                <w:lang w:eastAsia="en-GB"/>
              </w:rPr>
            </w:pPr>
            <w:r w:rsidRPr="00681F70">
              <w:rPr>
                <w:rFonts w:ascii="Arial" w:eastAsia="Times New Roman" w:hAnsi="Arial" w:cs="Arial"/>
                <w:b/>
                <w:bCs/>
                <w:color w:val="000000"/>
                <w:sz w:val="16"/>
                <w:szCs w:val="16"/>
                <w:lang w:eastAsia="en-GB"/>
              </w:rPr>
              <w:t>Target</w:t>
            </w:r>
          </w:p>
        </w:tc>
        <w:tc>
          <w:tcPr>
            <w:tcW w:w="410" w:type="pct"/>
            <w:tcBorders>
              <w:top w:val="nil"/>
              <w:left w:val="nil"/>
              <w:bottom w:val="single" w:sz="4" w:space="0" w:color="auto"/>
              <w:right w:val="single" w:sz="8" w:space="0" w:color="auto"/>
            </w:tcBorders>
            <w:shd w:val="clear" w:color="auto" w:fill="F2F2F2"/>
            <w:vAlign w:val="center"/>
            <w:hideMark/>
          </w:tcPr>
          <w:p w:rsidR="0047390F" w:rsidRPr="00681F70" w:rsidRDefault="00EE7244" w:rsidP="00786A76">
            <w:pPr>
              <w:spacing w:after="0" w:line="240" w:lineRule="auto"/>
              <w:rPr>
                <w:rFonts w:ascii="Arial" w:eastAsia="Times New Roman" w:hAnsi="Arial" w:cs="Arial"/>
                <w:b/>
                <w:bCs/>
                <w:color w:val="000000"/>
                <w:sz w:val="16"/>
                <w:szCs w:val="16"/>
                <w:lang w:eastAsia="en-GB"/>
              </w:rPr>
            </w:pPr>
            <w:r w:rsidRPr="00681F70">
              <w:rPr>
                <w:rFonts w:ascii="Arial" w:eastAsia="Times New Roman" w:hAnsi="Arial" w:cs="Arial"/>
                <w:b/>
                <w:bCs/>
                <w:color w:val="000000"/>
                <w:sz w:val="16"/>
                <w:szCs w:val="16"/>
                <w:lang w:eastAsia="en-GB"/>
              </w:rPr>
              <w:t xml:space="preserve">Actual </w:t>
            </w:r>
          </w:p>
        </w:tc>
        <w:tc>
          <w:tcPr>
            <w:tcW w:w="462" w:type="pct"/>
            <w:tcBorders>
              <w:top w:val="nil"/>
              <w:left w:val="nil"/>
              <w:bottom w:val="single" w:sz="4" w:space="0" w:color="auto"/>
              <w:right w:val="single" w:sz="8" w:space="0" w:color="auto"/>
            </w:tcBorders>
            <w:shd w:val="clear" w:color="auto" w:fill="F2F2F2"/>
            <w:vAlign w:val="center"/>
            <w:hideMark/>
          </w:tcPr>
          <w:p w:rsidR="0047390F" w:rsidRPr="00681F70" w:rsidRDefault="00EE7244" w:rsidP="00786A76">
            <w:pPr>
              <w:spacing w:after="0" w:line="240" w:lineRule="auto"/>
              <w:rPr>
                <w:rFonts w:ascii="Arial" w:eastAsia="Times New Roman" w:hAnsi="Arial" w:cs="Arial"/>
                <w:b/>
                <w:bCs/>
                <w:color w:val="000000"/>
                <w:sz w:val="16"/>
                <w:szCs w:val="16"/>
                <w:lang w:eastAsia="en-GB"/>
              </w:rPr>
            </w:pPr>
            <w:r w:rsidRPr="00681F70">
              <w:rPr>
                <w:rFonts w:ascii="Arial" w:eastAsia="Times New Roman" w:hAnsi="Arial" w:cs="Arial"/>
                <w:b/>
                <w:bCs/>
                <w:color w:val="000000"/>
                <w:sz w:val="16"/>
                <w:szCs w:val="16"/>
                <w:lang w:eastAsia="en-GB"/>
              </w:rPr>
              <w:t>Target</w:t>
            </w:r>
          </w:p>
        </w:tc>
        <w:tc>
          <w:tcPr>
            <w:tcW w:w="461" w:type="pct"/>
            <w:tcBorders>
              <w:top w:val="nil"/>
              <w:left w:val="nil"/>
              <w:bottom w:val="single" w:sz="4" w:space="0" w:color="auto"/>
              <w:right w:val="single" w:sz="8" w:space="0" w:color="auto"/>
            </w:tcBorders>
            <w:shd w:val="clear" w:color="auto" w:fill="F2F2F2"/>
            <w:vAlign w:val="center"/>
            <w:hideMark/>
          </w:tcPr>
          <w:p w:rsidR="0047390F" w:rsidRPr="00681F70" w:rsidRDefault="00EE7244" w:rsidP="00786A76">
            <w:pPr>
              <w:spacing w:after="0" w:line="240" w:lineRule="auto"/>
              <w:rPr>
                <w:rFonts w:ascii="Arial" w:eastAsia="Times New Roman" w:hAnsi="Arial" w:cs="Arial"/>
                <w:b/>
                <w:bCs/>
                <w:color w:val="000000"/>
                <w:sz w:val="16"/>
                <w:szCs w:val="16"/>
                <w:lang w:eastAsia="en-GB"/>
              </w:rPr>
            </w:pPr>
            <w:r w:rsidRPr="00681F70">
              <w:rPr>
                <w:rFonts w:ascii="Arial" w:eastAsia="Times New Roman" w:hAnsi="Arial" w:cs="Arial"/>
                <w:b/>
                <w:bCs/>
                <w:color w:val="000000"/>
                <w:sz w:val="16"/>
                <w:szCs w:val="16"/>
                <w:lang w:eastAsia="en-GB"/>
              </w:rPr>
              <w:t>Actual</w:t>
            </w:r>
          </w:p>
        </w:tc>
      </w:tr>
      <w:tr w:rsidR="00C07FE1" w:rsidTr="0047390F">
        <w:trPr>
          <w:trHeight w:val="300"/>
        </w:trPr>
        <w:tc>
          <w:tcPr>
            <w:tcW w:w="1304" w:type="pct"/>
            <w:tcBorders>
              <w:top w:val="single" w:sz="4" w:space="0" w:color="auto"/>
              <w:left w:val="single" w:sz="4" w:space="0" w:color="auto"/>
              <w:bottom w:val="nil"/>
              <w:right w:val="single" w:sz="4" w:space="0" w:color="auto"/>
            </w:tcBorders>
            <w:vAlign w:val="center"/>
            <w:hideMark/>
          </w:tcPr>
          <w:p w:rsidR="0047390F" w:rsidRPr="00681F70" w:rsidRDefault="00EE7244" w:rsidP="00786A76">
            <w:pPr>
              <w:spacing w:after="0" w:line="240" w:lineRule="auto"/>
              <w:rPr>
                <w:rFonts w:ascii="Arial" w:eastAsia="Times New Roman" w:hAnsi="Arial" w:cs="Arial"/>
                <w:b/>
                <w:bCs/>
                <w:color w:val="000000"/>
                <w:sz w:val="16"/>
                <w:szCs w:val="16"/>
                <w:lang w:eastAsia="en-GB"/>
              </w:rPr>
            </w:pPr>
            <w:r w:rsidRPr="00681F70">
              <w:rPr>
                <w:rFonts w:ascii="Arial" w:eastAsia="Times New Roman" w:hAnsi="Arial" w:cs="Arial"/>
                <w:b/>
                <w:bCs/>
                <w:color w:val="000000"/>
                <w:sz w:val="16"/>
                <w:szCs w:val="16"/>
                <w:lang w:eastAsia="en-GB"/>
              </w:rPr>
              <w:t>1. Apprenticeships starts in construction</w:t>
            </w:r>
          </w:p>
        </w:tc>
        <w:tc>
          <w:tcPr>
            <w:tcW w:w="539" w:type="pct"/>
            <w:vMerge w:val="restart"/>
            <w:tcBorders>
              <w:top w:val="single" w:sz="4" w:space="0" w:color="auto"/>
              <w:left w:val="single" w:sz="4" w:space="0" w:color="auto"/>
              <w:bottom w:val="single" w:sz="4" w:space="0" w:color="auto"/>
              <w:right w:val="single" w:sz="4" w:space="0" w:color="auto"/>
            </w:tcBorders>
            <w:hideMark/>
          </w:tcPr>
          <w:p w:rsidR="0047390F" w:rsidRPr="00681F70" w:rsidRDefault="00EE7244" w:rsidP="00786A76">
            <w:pPr>
              <w:spacing w:after="0" w:line="240" w:lineRule="auto"/>
              <w:jc w:val="right"/>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br/>
            </w:r>
            <w:r w:rsidRPr="00681F70">
              <w:rPr>
                <w:rFonts w:ascii="Arial" w:eastAsia="Times New Roman" w:hAnsi="Arial" w:cs="Arial"/>
                <w:color w:val="000000"/>
                <w:sz w:val="16"/>
                <w:szCs w:val="16"/>
                <w:lang w:eastAsia="en-GB"/>
              </w:rPr>
              <w:br/>
            </w:r>
            <w:r w:rsidRPr="00681F70">
              <w:rPr>
                <w:rFonts w:ascii="Arial" w:eastAsia="Times New Roman" w:hAnsi="Arial" w:cs="Arial"/>
                <w:color w:val="000000"/>
                <w:sz w:val="16"/>
                <w:szCs w:val="16"/>
                <w:lang w:eastAsia="en-GB"/>
              </w:rPr>
              <w:br/>
            </w:r>
            <w:r w:rsidRPr="00681F70">
              <w:rPr>
                <w:rFonts w:ascii="Arial" w:eastAsia="Times New Roman" w:hAnsi="Arial" w:cs="Arial"/>
                <w:color w:val="000000"/>
                <w:sz w:val="16"/>
                <w:szCs w:val="16"/>
                <w:lang w:eastAsia="en-GB"/>
              </w:rPr>
              <w:br/>
            </w:r>
            <w:r w:rsidRPr="00681F70">
              <w:rPr>
                <w:rFonts w:ascii="Arial" w:eastAsia="Times New Roman" w:hAnsi="Arial" w:cs="Arial"/>
                <w:color w:val="000000"/>
                <w:sz w:val="16"/>
                <w:szCs w:val="16"/>
                <w:lang w:eastAsia="en-GB"/>
              </w:rPr>
              <w:br/>
              <w:t>N/A</w:t>
            </w:r>
          </w:p>
        </w:tc>
        <w:tc>
          <w:tcPr>
            <w:tcW w:w="462" w:type="pct"/>
            <w:tcBorders>
              <w:top w:val="single" w:sz="4" w:space="0" w:color="auto"/>
              <w:left w:val="single" w:sz="4" w:space="0" w:color="auto"/>
              <w:bottom w:val="nil"/>
              <w:right w:val="single" w:sz="4" w:space="0" w:color="auto"/>
            </w:tcBorders>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 </w:t>
            </w:r>
          </w:p>
        </w:tc>
        <w:tc>
          <w:tcPr>
            <w:tcW w:w="462" w:type="pct"/>
            <w:tcBorders>
              <w:top w:val="single" w:sz="4" w:space="0" w:color="auto"/>
              <w:left w:val="single" w:sz="4" w:space="0" w:color="auto"/>
              <w:bottom w:val="nil"/>
              <w:right w:val="single" w:sz="4" w:space="0" w:color="auto"/>
            </w:tcBorders>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 </w:t>
            </w:r>
          </w:p>
        </w:tc>
        <w:tc>
          <w:tcPr>
            <w:tcW w:w="462" w:type="pct"/>
            <w:tcBorders>
              <w:top w:val="single" w:sz="4" w:space="0" w:color="auto"/>
              <w:left w:val="single" w:sz="4" w:space="0" w:color="auto"/>
              <w:bottom w:val="nil"/>
              <w:right w:val="single" w:sz="4" w:space="0" w:color="auto"/>
            </w:tcBorders>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 </w:t>
            </w:r>
          </w:p>
        </w:tc>
        <w:tc>
          <w:tcPr>
            <w:tcW w:w="438" w:type="pct"/>
            <w:tcBorders>
              <w:top w:val="single" w:sz="4" w:space="0" w:color="auto"/>
              <w:left w:val="single" w:sz="4" w:space="0" w:color="auto"/>
              <w:bottom w:val="nil"/>
              <w:right w:val="single" w:sz="4" w:space="0" w:color="auto"/>
            </w:tcBorders>
            <w:shd w:val="clear" w:color="auto" w:fill="F2F2F2"/>
            <w:vAlign w:val="center"/>
            <w:hideMark/>
          </w:tcPr>
          <w:p w:rsidR="0047390F" w:rsidRPr="00681F70" w:rsidRDefault="00EE7244" w:rsidP="00786A76">
            <w:pPr>
              <w:spacing w:after="0" w:line="240" w:lineRule="auto"/>
              <w:jc w:val="right"/>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5%</w:t>
            </w:r>
          </w:p>
        </w:tc>
        <w:tc>
          <w:tcPr>
            <w:tcW w:w="410" w:type="pct"/>
            <w:tcBorders>
              <w:top w:val="single" w:sz="4" w:space="0" w:color="auto"/>
              <w:left w:val="single" w:sz="4" w:space="0" w:color="auto"/>
              <w:bottom w:val="nil"/>
              <w:right w:val="single" w:sz="4" w:space="0" w:color="auto"/>
            </w:tcBorders>
            <w:vAlign w:val="center"/>
            <w:hideMark/>
          </w:tcPr>
          <w:p w:rsidR="0047390F" w:rsidRPr="00681F70" w:rsidRDefault="00EE7244" w:rsidP="00786A76">
            <w:pPr>
              <w:spacing w:after="0" w:line="240" w:lineRule="auto"/>
              <w:jc w:val="right"/>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25%</w:t>
            </w:r>
          </w:p>
        </w:tc>
        <w:tc>
          <w:tcPr>
            <w:tcW w:w="462" w:type="pct"/>
            <w:tcBorders>
              <w:top w:val="single" w:sz="4" w:space="0" w:color="auto"/>
              <w:left w:val="single" w:sz="4" w:space="0" w:color="auto"/>
              <w:bottom w:val="nil"/>
              <w:right w:val="single" w:sz="4" w:space="0" w:color="auto"/>
            </w:tcBorders>
            <w:shd w:val="clear" w:color="auto" w:fill="F2F2F2"/>
            <w:vAlign w:val="center"/>
            <w:hideMark/>
          </w:tcPr>
          <w:p w:rsidR="0047390F" w:rsidRPr="00681F70" w:rsidRDefault="00EE7244" w:rsidP="00786A76">
            <w:pPr>
              <w:spacing w:after="0" w:line="240" w:lineRule="auto"/>
              <w:jc w:val="right"/>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8%</w:t>
            </w:r>
          </w:p>
        </w:tc>
        <w:tc>
          <w:tcPr>
            <w:tcW w:w="461" w:type="pct"/>
            <w:tcBorders>
              <w:top w:val="single" w:sz="4" w:space="0" w:color="auto"/>
              <w:left w:val="single" w:sz="4" w:space="0" w:color="auto"/>
              <w:bottom w:val="nil"/>
              <w:right w:val="single" w:sz="4" w:space="0" w:color="auto"/>
            </w:tcBorders>
            <w:vAlign w:val="center"/>
            <w:hideMark/>
          </w:tcPr>
          <w:p w:rsidR="0047390F" w:rsidRPr="00681F70" w:rsidRDefault="00EE7244" w:rsidP="00786A76">
            <w:pPr>
              <w:spacing w:after="0" w:line="240" w:lineRule="auto"/>
              <w:jc w:val="right"/>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80%</w:t>
            </w:r>
          </w:p>
        </w:tc>
      </w:tr>
      <w:tr w:rsidR="00C07FE1" w:rsidTr="0047390F">
        <w:trPr>
          <w:trHeight w:val="675"/>
        </w:trPr>
        <w:tc>
          <w:tcPr>
            <w:tcW w:w="1304" w:type="pct"/>
            <w:tcBorders>
              <w:top w:val="nil"/>
              <w:left w:val="single" w:sz="4" w:space="0" w:color="auto"/>
              <w:bottom w:val="nil"/>
              <w:right w:val="single" w:sz="4" w:space="0" w:color="auto"/>
            </w:tcBorders>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16-24 year olds residents of Preston and South Ribble who have started an apprenticeship in the construction sector. Additional numbers year on year.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390F" w:rsidRPr="00681F70" w:rsidRDefault="0047390F" w:rsidP="00786A76">
            <w:pPr>
              <w:spacing w:after="0" w:line="240" w:lineRule="auto"/>
              <w:rPr>
                <w:rFonts w:ascii="Arial" w:eastAsia="Times New Roman" w:hAnsi="Arial" w:cs="Arial"/>
                <w:color w:val="000000"/>
                <w:sz w:val="16"/>
                <w:szCs w:val="16"/>
                <w:lang w:eastAsia="en-GB"/>
              </w:rPr>
            </w:pPr>
          </w:p>
        </w:tc>
        <w:tc>
          <w:tcPr>
            <w:tcW w:w="462" w:type="pct"/>
            <w:tcBorders>
              <w:top w:val="nil"/>
              <w:left w:val="single" w:sz="4" w:space="0" w:color="auto"/>
              <w:bottom w:val="nil"/>
              <w:right w:val="single" w:sz="4" w:space="0" w:color="auto"/>
            </w:tcBorders>
            <w:vAlign w:val="center"/>
            <w:hideMark/>
          </w:tcPr>
          <w:p w:rsidR="0047390F" w:rsidRPr="00681F70" w:rsidRDefault="00EE7244" w:rsidP="00786A76">
            <w:pPr>
              <w:spacing w:after="0" w:line="240" w:lineRule="auto"/>
              <w:jc w:val="right"/>
              <w:rPr>
                <w:rFonts w:ascii="Arial" w:eastAsia="Times New Roman" w:hAnsi="Arial" w:cs="Arial"/>
                <w:b/>
                <w:bCs/>
                <w:color w:val="000000"/>
                <w:sz w:val="16"/>
                <w:szCs w:val="16"/>
                <w:lang w:eastAsia="en-GB"/>
              </w:rPr>
            </w:pPr>
            <w:r w:rsidRPr="00681F70">
              <w:rPr>
                <w:rFonts w:ascii="Arial" w:eastAsia="Times New Roman" w:hAnsi="Arial" w:cs="Arial"/>
                <w:b/>
                <w:bCs/>
                <w:color w:val="000000"/>
                <w:sz w:val="16"/>
                <w:szCs w:val="16"/>
                <w:lang w:eastAsia="en-GB"/>
              </w:rPr>
              <w:t>101</w:t>
            </w:r>
          </w:p>
        </w:tc>
        <w:tc>
          <w:tcPr>
            <w:tcW w:w="462" w:type="pct"/>
            <w:tcBorders>
              <w:top w:val="nil"/>
              <w:left w:val="single" w:sz="4" w:space="0" w:color="auto"/>
              <w:bottom w:val="nil"/>
              <w:right w:val="single" w:sz="4" w:space="0" w:color="auto"/>
            </w:tcBorders>
            <w:vAlign w:val="center"/>
            <w:hideMark/>
          </w:tcPr>
          <w:p w:rsidR="0047390F" w:rsidRPr="00681F70" w:rsidRDefault="00EE7244" w:rsidP="00786A76">
            <w:pPr>
              <w:spacing w:after="0" w:line="240" w:lineRule="auto"/>
              <w:jc w:val="right"/>
              <w:rPr>
                <w:rFonts w:ascii="Arial" w:eastAsia="Times New Roman" w:hAnsi="Arial" w:cs="Arial"/>
                <w:b/>
                <w:bCs/>
                <w:color w:val="000000"/>
                <w:sz w:val="16"/>
                <w:szCs w:val="16"/>
                <w:lang w:eastAsia="en-GB"/>
              </w:rPr>
            </w:pPr>
            <w:r w:rsidRPr="00681F70">
              <w:rPr>
                <w:rFonts w:ascii="Arial" w:eastAsia="Times New Roman" w:hAnsi="Arial" w:cs="Arial"/>
                <w:b/>
                <w:bCs/>
                <w:color w:val="000000"/>
                <w:sz w:val="16"/>
                <w:szCs w:val="16"/>
                <w:lang w:eastAsia="en-GB"/>
              </w:rPr>
              <w:t>121</w:t>
            </w:r>
          </w:p>
        </w:tc>
        <w:tc>
          <w:tcPr>
            <w:tcW w:w="462" w:type="pct"/>
            <w:tcBorders>
              <w:top w:val="nil"/>
              <w:left w:val="single" w:sz="4" w:space="0" w:color="auto"/>
              <w:bottom w:val="nil"/>
              <w:right w:val="single" w:sz="4" w:space="0" w:color="auto"/>
            </w:tcBorders>
            <w:vAlign w:val="center"/>
            <w:hideMark/>
          </w:tcPr>
          <w:p w:rsidR="0047390F" w:rsidRPr="00681F70" w:rsidRDefault="00EE7244" w:rsidP="00786A76">
            <w:pPr>
              <w:spacing w:after="0" w:line="240" w:lineRule="auto"/>
              <w:jc w:val="right"/>
              <w:rPr>
                <w:rFonts w:ascii="Arial" w:eastAsia="Times New Roman" w:hAnsi="Arial" w:cs="Arial"/>
                <w:b/>
                <w:bCs/>
                <w:color w:val="000000"/>
                <w:sz w:val="16"/>
                <w:szCs w:val="16"/>
                <w:lang w:eastAsia="en-GB"/>
              </w:rPr>
            </w:pPr>
            <w:r w:rsidRPr="00681F70">
              <w:rPr>
                <w:rFonts w:ascii="Arial" w:eastAsia="Times New Roman" w:hAnsi="Arial" w:cs="Arial"/>
                <w:b/>
                <w:bCs/>
                <w:color w:val="000000"/>
                <w:sz w:val="16"/>
                <w:szCs w:val="16"/>
                <w:lang w:eastAsia="en-GB"/>
              </w:rPr>
              <w:t>124</w:t>
            </w:r>
          </w:p>
        </w:tc>
        <w:tc>
          <w:tcPr>
            <w:tcW w:w="438" w:type="pct"/>
            <w:tcBorders>
              <w:top w:val="nil"/>
              <w:left w:val="single" w:sz="4" w:space="0" w:color="auto"/>
              <w:bottom w:val="nil"/>
              <w:right w:val="single" w:sz="4" w:space="0" w:color="auto"/>
            </w:tcBorders>
            <w:shd w:val="clear" w:color="auto" w:fill="F2F2F2"/>
            <w:vAlign w:val="center"/>
            <w:hideMark/>
          </w:tcPr>
          <w:p w:rsidR="0047390F" w:rsidRPr="00681F70" w:rsidRDefault="00EE7244" w:rsidP="00786A76">
            <w:pPr>
              <w:spacing w:after="0" w:line="240" w:lineRule="auto"/>
              <w:jc w:val="right"/>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130</w:t>
            </w:r>
          </w:p>
        </w:tc>
        <w:tc>
          <w:tcPr>
            <w:tcW w:w="410" w:type="pct"/>
            <w:tcBorders>
              <w:top w:val="nil"/>
              <w:left w:val="single" w:sz="4" w:space="0" w:color="auto"/>
              <w:bottom w:val="nil"/>
              <w:right w:val="single" w:sz="4" w:space="0" w:color="auto"/>
            </w:tcBorders>
            <w:vAlign w:val="center"/>
            <w:hideMark/>
          </w:tcPr>
          <w:p w:rsidR="0047390F" w:rsidRPr="00681F70" w:rsidRDefault="00EE7244" w:rsidP="00786A76">
            <w:pPr>
              <w:spacing w:after="0" w:line="240" w:lineRule="auto"/>
              <w:jc w:val="right"/>
              <w:rPr>
                <w:rFonts w:ascii="Arial" w:eastAsia="Times New Roman" w:hAnsi="Arial" w:cs="Arial"/>
                <w:b/>
                <w:bCs/>
                <w:color w:val="000000"/>
                <w:sz w:val="16"/>
                <w:szCs w:val="16"/>
                <w:lang w:eastAsia="en-GB"/>
              </w:rPr>
            </w:pPr>
            <w:r w:rsidRPr="00681F70">
              <w:rPr>
                <w:rFonts w:ascii="Arial" w:eastAsia="Times New Roman" w:hAnsi="Arial" w:cs="Arial"/>
                <w:b/>
                <w:bCs/>
                <w:color w:val="000000"/>
                <w:sz w:val="16"/>
                <w:szCs w:val="16"/>
                <w:lang w:eastAsia="en-GB"/>
              </w:rPr>
              <w:t>155</w:t>
            </w:r>
          </w:p>
        </w:tc>
        <w:tc>
          <w:tcPr>
            <w:tcW w:w="462" w:type="pct"/>
            <w:tcBorders>
              <w:top w:val="nil"/>
              <w:left w:val="single" w:sz="4" w:space="0" w:color="auto"/>
              <w:bottom w:val="nil"/>
              <w:right w:val="single" w:sz="4" w:space="0" w:color="auto"/>
            </w:tcBorders>
            <w:shd w:val="clear" w:color="auto" w:fill="F2F2F2"/>
            <w:vAlign w:val="center"/>
            <w:hideMark/>
          </w:tcPr>
          <w:p w:rsidR="0047390F" w:rsidRPr="00681F70" w:rsidRDefault="00EE7244" w:rsidP="00786A76">
            <w:pPr>
              <w:spacing w:after="0" w:line="240" w:lineRule="auto"/>
              <w:jc w:val="right"/>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167</w:t>
            </w:r>
          </w:p>
        </w:tc>
        <w:tc>
          <w:tcPr>
            <w:tcW w:w="461" w:type="pct"/>
            <w:tcBorders>
              <w:top w:val="nil"/>
              <w:left w:val="single" w:sz="4" w:space="0" w:color="auto"/>
              <w:bottom w:val="nil"/>
              <w:right w:val="single" w:sz="4" w:space="0" w:color="auto"/>
            </w:tcBorders>
            <w:vAlign w:val="center"/>
            <w:hideMark/>
          </w:tcPr>
          <w:p w:rsidR="0047390F" w:rsidRPr="00681F70" w:rsidRDefault="00EE7244" w:rsidP="00786A76">
            <w:pPr>
              <w:spacing w:after="0" w:line="240" w:lineRule="auto"/>
              <w:jc w:val="right"/>
              <w:rPr>
                <w:rFonts w:ascii="Arial" w:eastAsia="Times New Roman" w:hAnsi="Arial" w:cs="Arial"/>
                <w:b/>
                <w:bCs/>
                <w:color w:val="000000"/>
                <w:sz w:val="16"/>
                <w:szCs w:val="16"/>
                <w:lang w:eastAsia="en-GB"/>
              </w:rPr>
            </w:pPr>
            <w:r w:rsidRPr="00681F70">
              <w:rPr>
                <w:rFonts w:ascii="Arial" w:eastAsia="Times New Roman" w:hAnsi="Arial" w:cs="Arial"/>
                <w:b/>
                <w:bCs/>
                <w:color w:val="000000"/>
                <w:sz w:val="16"/>
                <w:szCs w:val="16"/>
                <w:lang w:eastAsia="en-GB"/>
              </w:rPr>
              <w:t>279</w:t>
            </w:r>
          </w:p>
        </w:tc>
      </w:tr>
      <w:tr w:rsidR="00C07FE1" w:rsidTr="0047390F">
        <w:trPr>
          <w:trHeight w:val="70"/>
        </w:trPr>
        <w:tc>
          <w:tcPr>
            <w:tcW w:w="1304" w:type="pct"/>
            <w:tcBorders>
              <w:top w:val="nil"/>
              <w:left w:val="single" w:sz="4" w:space="0" w:color="auto"/>
              <w:bottom w:val="nil"/>
              <w:right w:val="single" w:sz="4" w:space="0" w:color="auto"/>
            </w:tcBorders>
            <w:vAlign w:val="center"/>
          </w:tcPr>
          <w:p w:rsidR="0047390F" w:rsidRPr="00681F70" w:rsidRDefault="0047390F" w:rsidP="00786A76">
            <w:pPr>
              <w:spacing w:after="0" w:line="240" w:lineRule="auto"/>
              <w:rPr>
                <w:rFonts w:ascii="Arial" w:eastAsia="Times New Roman" w:hAnsi="Arial" w:cs="Arial"/>
                <w:color w:val="000000"/>
                <w:sz w:val="16"/>
                <w:szCs w:val="16"/>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390F" w:rsidRPr="00681F70" w:rsidRDefault="0047390F" w:rsidP="00786A76">
            <w:pPr>
              <w:spacing w:after="0" w:line="240" w:lineRule="auto"/>
              <w:rPr>
                <w:rFonts w:ascii="Arial" w:eastAsia="Times New Roman" w:hAnsi="Arial" w:cs="Arial"/>
                <w:color w:val="000000"/>
                <w:sz w:val="16"/>
                <w:szCs w:val="16"/>
                <w:lang w:eastAsia="en-GB"/>
              </w:rPr>
            </w:pPr>
          </w:p>
        </w:tc>
        <w:tc>
          <w:tcPr>
            <w:tcW w:w="462" w:type="pct"/>
            <w:tcBorders>
              <w:top w:val="nil"/>
              <w:left w:val="single" w:sz="4" w:space="0" w:color="auto"/>
              <w:bottom w:val="nil"/>
              <w:right w:val="single" w:sz="4" w:space="0" w:color="auto"/>
            </w:tcBorders>
            <w:vAlign w:val="center"/>
          </w:tcPr>
          <w:p w:rsidR="0047390F" w:rsidRPr="00681F70" w:rsidRDefault="0047390F" w:rsidP="00786A76">
            <w:pPr>
              <w:spacing w:after="0" w:line="240" w:lineRule="auto"/>
              <w:jc w:val="right"/>
              <w:rPr>
                <w:rFonts w:ascii="Arial" w:eastAsia="Times New Roman" w:hAnsi="Arial" w:cs="Arial"/>
                <w:b/>
                <w:bCs/>
                <w:color w:val="000000"/>
                <w:sz w:val="16"/>
                <w:szCs w:val="16"/>
                <w:lang w:eastAsia="en-GB"/>
              </w:rPr>
            </w:pPr>
          </w:p>
        </w:tc>
        <w:tc>
          <w:tcPr>
            <w:tcW w:w="462" w:type="pct"/>
            <w:tcBorders>
              <w:top w:val="nil"/>
              <w:left w:val="single" w:sz="4" w:space="0" w:color="auto"/>
              <w:bottom w:val="nil"/>
              <w:right w:val="single" w:sz="4" w:space="0" w:color="auto"/>
            </w:tcBorders>
            <w:vAlign w:val="center"/>
          </w:tcPr>
          <w:p w:rsidR="0047390F" w:rsidRPr="00681F70" w:rsidRDefault="0047390F" w:rsidP="00786A76">
            <w:pPr>
              <w:spacing w:after="0" w:line="240" w:lineRule="auto"/>
              <w:jc w:val="right"/>
              <w:rPr>
                <w:rFonts w:ascii="Arial" w:eastAsia="Times New Roman" w:hAnsi="Arial" w:cs="Arial"/>
                <w:b/>
                <w:bCs/>
                <w:color w:val="000000"/>
                <w:sz w:val="16"/>
                <w:szCs w:val="16"/>
                <w:lang w:eastAsia="en-GB"/>
              </w:rPr>
            </w:pPr>
          </w:p>
        </w:tc>
        <w:tc>
          <w:tcPr>
            <w:tcW w:w="462" w:type="pct"/>
            <w:tcBorders>
              <w:top w:val="nil"/>
              <w:left w:val="single" w:sz="4" w:space="0" w:color="auto"/>
              <w:bottom w:val="nil"/>
              <w:right w:val="single" w:sz="4" w:space="0" w:color="auto"/>
            </w:tcBorders>
            <w:vAlign w:val="center"/>
          </w:tcPr>
          <w:p w:rsidR="0047390F" w:rsidRPr="00681F70" w:rsidRDefault="0047390F" w:rsidP="00786A76">
            <w:pPr>
              <w:spacing w:after="0" w:line="240" w:lineRule="auto"/>
              <w:jc w:val="right"/>
              <w:rPr>
                <w:rFonts w:ascii="Arial" w:eastAsia="Times New Roman" w:hAnsi="Arial" w:cs="Arial"/>
                <w:b/>
                <w:bCs/>
                <w:color w:val="000000"/>
                <w:sz w:val="16"/>
                <w:szCs w:val="16"/>
                <w:lang w:eastAsia="en-GB"/>
              </w:rPr>
            </w:pPr>
          </w:p>
        </w:tc>
        <w:tc>
          <w:tcPr>
            <w:tcW w:w="438" w:type="pct"/>
            <w:tcBorders>
              <w:top w:val="nil"/>
              <w:left w:val="single" w:sz="4" w:space="0" w:color="auto"/>
              <w:bottom w:val="nil"/>
              <w:right w:val="single" w:sz="4" w:space="0" w:color="auto"/>
            </w:tcBorders>
            <w:shd w:val="clear" w:color="auto" w:fill="F2F2F2"/>
            <w:vAlign w:val="center"/>
          </w:tcPr>
          <w:p w:rsidR="0047390F" w:rsidRPr="00681F70" w:rsidRDefault="0047390F" w:rsidP="00786A76">
            <w:pPr>
              <w:spacing w:after="0" w:line="240" w:lineRule="auto"/>
              <w:jc w:val="right"/>
              <w:rPr>
                <w:rFonts w:ascii="Arial" w:eastAsia="Times New Roman" w:hAnsi="Arial" w:cs="Arial"/>
                <w:color w:val="000000"/>
                <w:sz w:val="16"/>
                <w:szCs w:val="16"/>
                <w:lang w:eastAsia="en-GB"/>
              </w:rPr>
            </w:pPr>
          </w:p>
        </w:tc>
        <w:tc>
          <w:tcPr>
            <w:tcW w:w="410" w:type="pct"/>
            <w:tcBorders>
              <w:top w:val="nil"/>
              <w:left w:val="single" w:sz="4" w:space="0" w:color="auto"/>
              <w:bottom w:val="nil"/>
              <w:right w:val="single" w:sz="4" w:space="0" w:color="auto"/>
            </w:tcBorders>
            <w:vAlign w:val="center"/>
          </w:tcPr>
          <w:p w:rsidR="0047390F" w:rsidRPr="00681F70" w:rsidRDefault="0047390F" w:rsidP="00786A76">
            <w:pPr>
              <w:spacing w:after="0" w:line="240" w:lineRule="auto"/>
              <w:jc w:val="right"/>
              <w:rPr>
                <w:rFonts w:ascii="Arial" w:eastAsia="Times New Roman" w:hAnsi="Arial" w:cs="Arial"/>
                <w:b/>
                <w:bCs/>
                <w:color w:val="000000"/>
                <w:sz w:val="16"/>
                <w:szCs w:val="16"/>
                <w:lang w:eastAsia="en-GB"/>
              </w:rPr>
            </w:pPr>
          </w:p>
        </w:tc>
        <w:tc>
          <w:tcPr>
            <w:tcW w:w="462" w:type="pct"/>
            <w:tcBorders>
              <w:top w:val="nil"/>
              <w:left w:val="single" w:sz="4" w:space="0" w:color="auto"/>
              <w:bottom w:val="nil"/>
              <w:right w:val="single" w:sz="4" w:space="0" w:color="auto"/>
            </w:tcBorders>
            <w:shd w:val="clear" w:color="auto" w:fill="F2F2F2"/>
            <w:vAlign w:val="center"/>
          </w:tcPr>
          <w:p w:rsidR="0047390F" w:rsidRPr="00681F70" w:rsidRDefault="0047390F" w:rsidP="00786A76">
            <w:pPr>
              <w:spacing w:after="0" w:line="240" w:lineRule="auto"/>
              <w:jc w:val="right"/>
              <w:rPr>
                <w:rFonts w:ascii="Arial" w:eastAsia="Times New Roman" w:hAnsi="Arial" w:cs="Arial"/>
                <w:color w:val="000000"/>
                <w:sz w:val="16"/>
                <w:szCs w:val="16"/>
                <w:lang w:eastAsia="en-GB"/>
              </w:rPr>
            </w:pPr>
          </w:p>
        </w:tc>
        <w:tc>
          <w:tcPr>
            <w:tcW w:w="461" w:type="pct"/>
            <w:tcBorders>
              <w:top w:val="nil"/>
              <w:left w:val="single" w:sz="4" w:space="0" w:color="auto"/>
              <w:bottom w:val="nil"/>
              <w:right w:val="single" w:sz="4" w:space="0" w:color="auto"/>
            </w:tcBorders>
            <w:vAlign w:val="center"/>
          </w:tcPr>
          <w:p w:rsidR="0047390F" w:rsidRPr="00681F70" w:rsidRDefault="0047390F" w:rsidP="00786A76">
            <w:pPr>
              <w:spacing w:after="0" w:line="240" w:lineRule="auto"/>
              <w:jc w:val="right"/>
              <w:rPr>
                <w:rFonts w:ascii="Arial" w:eastAsia="Times New Roman" w:hAnsi="Arial" w:cs="Arial"/>
                <w:b/>
                <w:bCs/>
                <w:color w:val="000000"/>
                <w:sz w:val="16"/>
                <w:szCs w:val="16"/>
                <w:lang w:eastAsia="en-GB"/>
              </w:rPr>
            </w:pPr>
          </w:p>
        </w:tc>
      </w:tr>
      <w:tr w:rsidR="00C07FE1" w:rsidTr="0047390F">
        <w:trPr>
          <w:trHeight w:val="465"/>
        </w:trPr>
        <w:tc>
          <w:tcPr>
            <w:tcW w:w="1304" w:type="pct"/>
            <w:tcBorders>
              <w:top w:val="nil"/>
              <w:left w:val="single" w:sz="4" w:space="0" w:color="auto"/>
              <w:bottom w:val="single" w:sz="4" w:space="0" w:color="auto"/>
              <w:right w:val="single" w:sz="4" w:space="0" w:color="auto"/>
            </w:tcBorders>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Source: Preston's College, Runshaw College and T2000 ESFA data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390F" w:rsidRPr="00681F70" w:rsidRDefault="0047390F" w:rsidP="00786A76">
            <w:pPr>
              <w:spacing w:after="0" w:line="240" w:lineRule="auto"/>
              <w:rPr>
                <w:rFonts w:ascii="Arial" w:eastAsia="Times New Roman" w:hAnsi="Arial" w:cs="Arial"/>
                <w:color w:val="000000"/>
                <w:sz w:val="16"/>
                <w:szCs w:val="16"/>
                <w:lang w:eastAsia="en-GB"/>
              </w:rPr>
            </w:pPr>
          </w:p>
        </w:tc>
        <w:tc>
          <w:tcPr>
            <w:tcW w:w="462" w:type="pct"/>
            <w:tcBorders>
              <w:top w:val="nil"/>
              <w:left w:val="single" w:sz="4" w:space="0" w:color="auto"/>
              <w:bottom w:val="single" w:sz="4" w:space="0" w:color="auto"/>
              <w:right w:val="single" w:sz="4" w:space="0" w:color="auto"/>
            </w:tcBorders>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 </w:t>
            </w:r>
          </w:p>
        </w:tc>
        <w:tc>
          <w:tcPr>
            <w:tcW w:w="462" w:type="pct"/>
            <w:tcBorders>
              <w:top w:val="nil"/>
              <w:left w:val="single" w:sz="4" w:space="0" w:color="auto"/>
              <w:bottom w:val="single" w:sz="4" w:space="0" w:color="auto"/>
              <w:right w:val="single" w:sz="4" w:space="0" w:color="auto"/>
            </w:tcBorders>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 </w:t>
            </w:r>
          </w:p>
        </w:tc>
        <w:tc>
          <w:tcPr>
            <w:tcW w:w="462" w:type="pct"/>
            <w:tcBorders>
              <w:top w:val="nil"/>
              <w:left w:val="single" w:sz="4" w:space="0" w:color="auto"/>
              <w:bottom w:val="single" w:sz="4" w:space="0" w:color="auto"/>
              <w:right w:val="single" w:sz="4" w:space="0" w:color="auto"/>
            </w:tcBorders>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 </w:t>
            </w:r>
          </w:p>
        </w:tc>
        <w:tc>
          <w:tcPr>
            <w:tcW w:w="438" w:type="pct"/>
            <w:tcBorders>
              <w:top w:val="nil"/>
              <w:left w:val="single" w:sz="4" w:space="0" w:color="auto"/>
              <w:bottom w:val="single" w:sz="4" w:space="0" w:color="auto"/>
              <w:right w:val="single" w:sz="4" w:space="0" w:color="auto"/>
            </w:tcBorders>
            <w:shd w:val="clear" w:color="auto" w:fill="F2F2F2"/>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 </w:t>
            </w:r>
          </w:p>
        </w:tc>
        <w:tc>
          <w:tcPr>
            <w:tcW w:w="410" w:type="pct"/>
            <w:tcBorders>
              <w:top w:val="nil"/>
              <w:left w:val="single" w:sz="4" w:space="0" w:color="auto"/>
              <w:bottom w:val="single" w:sz="4" w:space="0" w:color="auto"/>
              <w:right w:val="single" w:sz="4" w:space="0" w:color="auto"/>
            </w:tcBorders>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 </w:t>
            </w:r>
          </w:p>
        </w:tc>
        <w:tc>
          <w:tcPr>
            <w:tcW w:w="462" w:type="pct"/>
            <w:tcBorders>
              <w:top w:val="nil"/>
              <w:left w:val="single" w:sz="4" w:space="0" w:color="auto"/>
              <w:bottom w:val="single" w:sz="4" w:space="0" w:color="auto"/>
              <w:right w:val="single" w:sz="4" w:space="0" w:color="auto"/>
            </w:tcBorders>
            <w:shd w:val="clear" w:color="auto" w:fill="F2F2F2"/>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 </w:t>
            </w:r>
          </w:p>
        </w:tc>
        <w:tc>
          <w:tcPr>
            <w:tcW w:w="461" w:type="pct"/>
            <w:tcBorders>
              <w:top w:val="nil"/>
              <w:left w:val="single" w:sz="4" w:space="0" w:color="auto"/>
              <w:bottom w:val="single" w:sz="4" w:space="0" w:color="auto"/>
              <w:right w:val="single" w:sz="4" w:space="0" w:color="auto"/>
            </w:tcBorders>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 </w:t>
            </w:r>
          </w:p>
        </w:tc>
      </w:tr>
      <w:tr w:rsidR="00C07FE1" w:rsidTr="0047390F">
        <w:trPr>
          <w:trHeight w:val="300"/>
        </w:trPr>
        <w:tc>
          <w:tcPr>
            <w:tcW w:w="1304" w:type="pct"/>
            <w:tcBorders>
              <w:top w:val="single" w:sz="4" w:space="0" w:color="auto"/>
              <w:left w:val="single" w:sz="8" w:space="0" w:color="auto"/>
              <w:bottom w:val="nil"/>
              <w:right w:val="single" w:sz="4" w:space="0" w:color="auto"/>
            </w:tcBorders>
            <w:vAlign w:val="center"/>
            <w:hideMark/>
          </w:tcPr>
          <w:p w:rsidR="0047390F" w:rsidRPr="00681F70" w:rsidRDefault="00EE7244" w:rsidP="00786A76">
            <w:pPr>
              <w:spacing w:after="0" w:line="240" w:lineRule="auto"/>
              <w:rPr>
                <w:rFonts w:ascii="Arial" w:eastAsia="Times New Roman" w:hAnsi="Arial" w:cs="Arial"/>
                <w:b/>
                <w:bCs/>
                <w:color w:val="000000"/>
                <w:sz w:val="16"/>
                <w:szCs w:val="16"/>
                <w:lang w:eastAsia="en-GB"/>
              </w:rPr>
            </w:pPr>
            <w:r w:rsidRPr="00681F70">
              <w:rPr>
                <w:rFonts w:ascii="Arial" w:eastAsia="Times New Roman" w:hAnsi="Arial" w:cs="Arial"/>
                <w:b/>
                <w:bCs/>
                <w:color w:val="000000"/>
                <w:sz w:val="16"/>
                <w:szCs w:val="16"/>
                <w:lang w:eastAsia="en-GB"/>
              </w:rPr>
              <w:t>2. Apprenticeship starts in all subjects</w:t>
            </w:r>
          </w:p>
        </w:tc>
        <w:tc>
          <w:tcPr>
            <w:tcW w:w="539" w:type="pct"/>
            <w:vMerge w:val="restart"/>
            <w:tcBorders>
              <w:top w:val="single" w:sz="4" w:space="0" w:color="auto"/>
              <w:left w:val="single" w:sz="4" w:space="0" w:color="auto"/>
              <w:bottom w:val="single" w:sz="4" w:space="0" w:color="auto"/>
              <w:right w:val="single" w:sz="4" w:space="0" w:color="auto"/>
            </w:tcBorders>
            <w:hideMark/>
          </w:tcPr>
          <w:p w:rsidR="0047390F" w:rsidRPr="00681F70" w:rsidRDefault="00EE7244" w:rsidP="00786A76">
            <w:pPr>
              <w:spacing w:after="0" w:line="240" w:lineRule="auto"/>
              <w:jc w:val="right"/>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br/>
            </w:r>
            <w:r w:rsidRPr="00681F70">
              <w:rPr>
                <w:rFonts w:ascii="Arial" w:eastAsia="Times New Roman" w:hAnsi="Arial" w:cs="Arial"/>
                <w:color w:val="000000"/>
                <w:sz w:val="16"/>
                <w:szCs w:val="16"/>
                <w:lang w:eastAsia="en-GB"/>
              </w:rPr>
              <w:br/>
            </w:r>
            <w:r w:rsidRPr="00681F70">
              <w:rPr>
                <w:rFonts w:ascii="Arial" w:eastAsia="Times New Roman" w:hAnsi="Arial" w:cs="Arial"/>
                <w:color w:val="000000"/>
                <w:sz w:val="16"/>
                <w:szCs w:val="16"/>
                <w:lang w:eastAsia="en-GB"/>
              </w:rPr>
              <w:br/>
            </w:r>
            <w:r w:rsidRPr="00681F70">
              <w:rPr>
                <w:rFonts w:ascii="Arial" w:eastAsia="Times New Roman" w:hAnsi="Arial" w:cs="Arial"/>
                <w:color w:val="000000"/>
                <w:sz w:val="16"/>
                <w:szCs w:val="16"/>
                <w:lang w:eastAsia="en-GB"/>
              </w:rPr>
              <w:br/>
            </w:r>
            <w:r w:rsidRPr="00681F70">
              <w:rPr>
                <w:rFonts w:ascii="Arial" w:eastAsia="Times New Roman" w:hAnsi="Arial" w:cs="Arial"/>
                <w:color w:val="000000"/>
                <w:sz w:val="16"/>
                <w:szCs w:val="16"/>
                <w:lang w:eastAsia="en-GB"/>
              </w:rPr>
              <w:br/>
              <w:t>N/A</w:t>
            </w:r>
          </w:p>
        </w:tc>
        <w:tc>
          <w:tcPr>
            <w:tcW w:w="462" w:type="pct"/>
            <w:tcBorders>
              <w:top w:val="single" w:sz="4" w:space="0" w:color="auto"/>
              <w:left w:val="single" w:sz="4" w:space="0" w:color="auto"/>
              <w:bottom w:val="nil"/>
              <w:right w:val="single" w:sz="8" w:space="0" w:color="auto"/>
            </w:tcBorders>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 </w:t>
            </w:r>
          </w:p>
        </w:tc>
        <w:tc>
          <w:tcPr>
            <w:tcW w:w="462" w:type="pct"/>
            <w:tcBorders>
              <w:top w:val="single" w:sz="4" w:space="0" w:color="auto"/>
              <w:left w:val="nil"/>
              <w:bottom w:val="nil"/>
              <w:right w:val="single" w:sz="8" w:space="0" w:color="auto"/>
            </w:tcBorders>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 </w:t>
            </w:r>
          </w:p>
        </w:tc>
        <w:tc>
          <w:tcPr>
            <w:tcW w:w="462" w:type="pct"/>
            <w:tcBorders>
              <w:top w:val="single" w:sz="4" w:space="0" w:color="auto"/>
              <w:left w:val="nil"/>
              <w:bottom w:val="nil"/>
              <w:right w:val="single" w:sz="8" w:space="0" w:color="auto"/>
            </w:tcBorders>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 </w:t>
            </w:r>
          </w:p>
        </w:tc>
        <w:tc>
          <w:tcPr>
            <w:tcW w:w="438" w:type="pct"/>
            <w:tcBorders>
              <w:top w:val="single" w:sz="4" w:space="0" w:color="auto"/>
              <w:left w:val="nil"/>
              <w:bottom w:val="nil"/>
              <w:right w:val="single" w:sz="8" w:space="0" w:color="auto"/>
            </w:tcBorders>
            <w:shd w:val="clear" w:color="auto" w:fill="F2F2F2"/>
            <w:vAlign w:val="center"/>
            <w:hideMark/>
          </w:tcPr>
          <w:p w:rsidR="0047390F" w:rsidRPr="00681F70" w:rsidRDefault="00EE7244" w:rsidP="00786A76">
            <w:pPr>
              <w:spacing w:after="0" w:line="240" w:lineRule="auto"/>
              <w:jc w:val="right"/>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2%</w:t>
            </w:r>
          </w:p>
        </w:tc>
        <w:tc>
          <w:tcPr>
            <w:tcW w:w="410" w:type="pct"/>
            <w:tcBorders>
              <w:top w:val="single" w:sz="4" w:space="0" w:color="auto"/>
              <w:left w:val="nil"/>
              <w:bottom w:val="nil"/>
              <w:right w:val="single" w:sz="8" w:space="0" w:color="auto"/>
            </w:tcBorders>
            <w:vAlign w:val="center"/>
            <w:hideMark/>
          </w:tcPr>
          <w:p w:rsidR="0047390F" w:rsidRPr="00681F70" w:rsidRDefault="00EE7244" w:rsidP="00786A76">
            <w:pPr>
              <w:spacing w:after="0" w:line="240" w:lineRule="auto"/>
              <w:jc w:val="right"/>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23%</w:t>
            </w:r>
          </w:p>
        </w:tc>
        <w:tc>
          <w:tcPr>
            <w:tcW w:w="462" w:type="pct"/>
            <w:tcBorders>
              <w:top w:val="single" w:sz="4" w:space="0" w:color="auto"/>
              <w:left w:val="nil"/>
              <w:bottom w:val="nil"/>
              <w:right w:val="single" w:sz="8" w:space="0" w:color="auto"/>
            </w:tcBorders>
            <w:shd w:val="clear" w:color="auto" w:fill="F2F2F2"/>
            <w:vAlign w:val="center"/>
            <w:hideMark/>
          </w:tcPr>
          <w:p w:rsidR="0047390F" w:rsidRPr="00681F70" w:rsidRDefault="00EE7244" w:rsidP="00786A76">
            <w:pPr>
              <w:spacing w:after="0" w:line="240" w:lineRule="auto"/>
              <w:jc w:val="right"/>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4%</w:t>
            </w:r>
          </w:p>
        </w:tc>
        <w:tc>
          <w:tcPr>
            <w:tcW w:w="461" w:type="pct"/>
            <w:tcBorders>
              <w:top w:val="single" w:sz="4" w:space="0" w:color="auto"/>
              <w:left w:val="nil"/>
              <w:bottom w:val="nil"/>
              <w:right w:val="single" w:sz="8" w:space="0" w:color="auto"/>
            </w:tcBorders>
            <w:vAlign w:val="center"/>
            <w:hideMark/>
          </w:tcPr>
          <w:p w:rsidR="0047390F" w:rsidRPr="00681F70" w:rsidRDefault="00EE7244" w:rsidP="00786A76">
            <w:pPr>
              <w:spacing w:after="0" w:line="240" w:lineRule="auto"/>
              <w:jc w:val="right"/>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16%</w:t>
            </w:r>
          </w:p>
        </w:tc>
      </w:tr>
      <w:tr w:rsidR="00C07FE1" w:rsidTr="0047390F">
        <w:trPr>
          <w:trHeight w:val="675"/>
        </w:trPr>
        <w:tc>
          <w:tcPr>
            <w:tcW w:w="1304" w:type="pct"/>
            <w:tcBorders>
              <w:top w:val="nil"/>
              <w:left w:val="single" w:sz="8" w:space="0" w:color="auto"/>
              <w:bottom w:val="nil"/>
              <w:right w:val="single" w:sz="4" w:space="0" w:color="auto"/>
            </w:tcBorders>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16-24 year old residents of Preston and South Ribble who have started an apprenticeship (excluding construction). Additional numbers year on year.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390F" w:rsidRPr="00681F70" w:rsidRDefault="0047390F" w:rsidP="00786A76">
            <w:pPr>
              <w:spacing w:after="0" w:line="240" w:lineRule="auto"/>
              <w:rPr>
                <w:rFonts w:ascii="Arial" w:eastAsia="Times New Roman" w:hAnsi="Arial" w:cs="Arial"/>
                <w:color w:val="000000"/>
                <w:sz w:val="16"/>
                <w:szCs w:val="16"/>
                <w:lang w:eastAsia="en-GB"/>
              </w:rPr>
            </w:pPr>
          </w:p>
        </w:tc>
        <w:tc>
          <w:tcPr>
            <w:tcW w:w="462" w:type="pct"/>
            <w:tcBorders>
              <w:top w:val="nil"/>
              <w:left w:val="single" w:sz="4" w:space="0" w:color="auto"/>
              <w:bottom w:val="nil"/>
              <w:right w:val="single" w:sz="8" w:space="0" w:color="auto"/>
            </w:tcBorders>
            <w:vAlign w:val="center"/>
            <w:hideMark/>
          </w:tcPr>
          <w:p w:rsidR="0047390F" w:rsidRPr="00681F70" w:rsidRDefault="00EE7244" w:rsidP="00786A76">
            <w:pPr>
              <w:spacing w:after="0" w:line="240" w:lineRule="auto"/>
              <w:jc w:val="right"/>
              <w:rPr>
                <w:rFonts w:ascii="Arial" w:eastAsia="Times New Roman" w:hAnsi="Arial" w:cs="Arial"/>
                <w:b/>
                <w:bCs/>
                <w:color w:val="000000"/>
                <w:sz w:val="16"/>
                <w:szCs w:val="16"/>
                <w:lang w:eastAsia="en-GB"/>
              </w:rPr>
            </w:pPr>
            <w:r w:rsidRPr="00681F70">
              <w:rPr>
                <w:rFonts w:ascii="Arial" w:eastAsia="Times New Roman" w:hAnsi="Arial" w:cs="Arial"/>
                <w:b/>
                <w:bCs/>
                <w:color w:val="000000"/>
                <w:sz w:val="16"/>
                <w:szCs w:val="16"/>
                <w:lang w:eastAsia="en-GB"/>
              </w:rPr>
              <w:t>672</w:t>
            </w:r>
          </w:p>
        </w:tc>
        <w:tc>
          <w:tcPr>
            <w:tcW w:w="462" w:type="pct"/>
            <w:tcBorders>
              <w:top w:val="nil"/>
              <w:left w:val="nil"/>
              <w:bottom w:val="nil"/>
              <w:right w:val="single" w:sz="8" w:space="0" w:color="auto"/>
            </w:tcBorders>
            <w:vAlign w:val="center"/>
            <w:hideMark/>
          </w:tcPr>
          <w:p w:rsidR="0047390F" w:rsidRPr="00681F70" w:rsidRDefault="00EE7244" w:rsidP="00786A76">
            <w:pPr>
              <w:spacing w:after="0" w:line="240" w:lineRule="auto"/>
              <w:jc w:val="right"/>
              <w:rPr>
                <w:rFonts w:ascii="Arial" w:eastAsia="Times New Roman" w:hAnsi="Arial" w:cs="Arial"/>
                <w:b/>
                <w:bCs/>
                <w:color w:val="000000"/>
                <w:sz w:val="16"/>
                <w:szCs w:val="16"/>
                <w:lang w:eastAsia="en-GB"/>
              </w:rPr>
            </w:pPr>
            <w:r w:rsidRPr="00681F70">
              <w:rPr>
                <w:rFonts w:ascii="Arial" w:eastAsia="Times New Roman" w:hAnsi="Arial" w:cs="Arial"/>
                <w:b/>
                <w:bCs/>
                <w:color w:val="000000"/>
                <w:sz w:val="16"/>
                <w:szCs w:val="16"/>
                <w:lang w:eastAsia="en-GB"/>
              </w:rPr>
              <w:t>684</w:t>
            </w:r>
          </w:p>
        </w:tc>
        <w:tc>
          <w:tcPr>
            <w:tcW w:w="462" w:type="pct"/>
            <w:tcBorders>
              <w:top w:val="nil"/>
              <w:left w:val="nil"/>
              <w:bottom w:val="nil"/>
              <w:right w:val="single" w:sz="8" w:space="0" w:color="auto"/>
            </w:tcBorders>
            <w:vAlign w:val="center"/>
            <w:hideMark/>
          </w:tcPr>
          <w:p w:rsidR="0047390F" w:rsidRPr="00681F70" w:rsidRDefault="00EE7244" w:rsidP="00786A76">
            <w:pPr>
              <w:spacing w:after="0" w:line="240" w:lineRule="auto"/>
              <w:jc w:val="right"/>
              <w:rPr>
                <w:rFonts w:ascii="Arial" w:eastAsia="Times New Roman" w:hAnsi="Arial" w:cs="Arial"/>
                <w:b/>
                <w:bCs/>
                <w:color w:val="000000"/>
                <w:sz w:val="16"/>
                <w:szCs w:val="16"/>
                <w:lang w:eastAsia="en-GB"/>
              </w:rPr>
            </w:pPr>
            <w:r w:rsidRPr="00681F70">
              <w:rPr>
                <w:rFonts w:ascii="Arial" w:eastAsia="Times New Roman" w:hAnsi="Arial" w:cs="Arial"/>
                <w:b/>
                <w:bCs/>
                <w:color w:val="000000"/>
                <w:sz w:val="16"/>
                <w:szCs w:val="16"/>
                <w:lang w:eastAsia="en-GB"/>
              </w:rPr>
              <w:t>710</w:t>
            </w:r>
          </w:p>
        </w:tc>
        <w:tc>
          <w:tcPr>
            <w:tcW w:w="438" w:type="pct"/>
            <w:tcBorders>
              <w:top w:val="nil"/>
              <w:left w:val="nil"/>
              <w:bottom w:val="nil"/>
              <w:right w:val="single" w:sz="8" w:space="0" w:color="auto"/>
            </w:tcBorders>
            <w:shd w:val="clear" w:color="auto" w:fill="F2F2F2"/>
            <w:vAlign w:val="center"/>
            <w:hideMark/>
          </w:tcPr>
          <w:p w:rsidR="0047390F" w:rsidRPr="00681F70" w:rsidRDefault="00EE7244" w:rsidP="00786A76">
            <w:pPr>
              <w:spacing w:after="0" w:line="240" w:lineRule="auto"/>
              <w:jc w:val="right"/>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724</w:t>
            </w:r>
          </w:p>
        </w:tc>
        <w:tc>
          <w:tcPr>
            <w:tcW w:w="410" w:type="pct"/>
            <w:tcBorders>
              <w:top w:val="nil"/>
              <w:left w:val="nil"/>
              <w:bottom w:val="nil"/>
              <w:right w:val="single" w:sz="8" w:space="0" w:color="auto"/>
            </w:tcBorders>
            <w:vAlign w:val="center"/>
            <w:hideMark/>
          </w:tcPr>
          <w:p w:rsidR="0047390F" w:rsidRPr="00681F70" w:rsidRDefault="00EE7244" w:rsidP="00786A76">
            <w:pPr>
              <w:spacing w:after="0" w:line="240" w:lineRule="auto"/>
              <w:jc w:val="right"/>
              <w:rPr>
                <w:rFonts w:ascii="Arial" w:eastAsia="Times New Roman" w:hAnsi="Arial" w:cs="Arial"/>
                <w:b/>
                <w:bCs/>
                <w:color w:val="000000"/>
                <w:sz w:val="16"/>
                <w:szCs w:val="16"/>
                <w:lang w:eastAsia="en-GB"/>
              </w:rPr>
            </w:pPr>
            <w:r w:rsidRPr="00681F70">
              <w:rPr>
                <w:rFonts w:ascii="Arial" w:eastAsia="Times New Roman" w:hAnsi="Arial" w:cs="Arial"/>
                <w:b/>
                <w:bCs/>
                <w:color w:val="000000"/>
                <w:sz w:val="16"/>
                <w:szCs w:val="16"/>
                <w:lang w:eastAsia="en-GB"/>
              </w:rPr>
              <w:t>875</w:t>
            </w:r>
          </w:p>
        </w:tc>
        <w:tc>
          <w:tcPr>
            <w:tcW w:w="462" w:type="pct"/>
            <w:tcBorders>
              <w:top w:val="nil"/>
              <w:left w:val="nil"/>
              <w:bottom w:val="nil"/>
              <w:right w:val="single" w:sz="8" w:space="0" w:color="auto"/>
            </w:tcBorders>
            <w:shd w:val="clear" w:color="auto" w:fill="F2F2F2"/>
            <w:vAlign w:val="center"/>
            <w:hideMark/>
          </w:tcPr>
          <w:p w:rsidR="0047390F" w:rsidRPr="00681F70" w:rsidRDefault="00EE7244" w:rsidP="00786A76">
            <w:pPr>
              <w:spacing w:after="0" w:line="240" w:lineRule="auto"/>
              <w:jc w:val="right"/>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910</w:t>
            </w:r>
          </w:p>
        </w:tc>
        <w:tc>
          <w:tcPr>
            <w:tcW w:w="461" w:type="pct"/>
            <w:tcBorders>
              <w:top w:val="nil"/>
              <w:left w:val="nil"/>
              <w:bottom w:val="nil"/>
              <w:right w:val="single" w:sz="8" w:space="0" w:color="auto"/>
            </w:tcBorders>
            <w:vAlign w:val="center"/>
            <w:hideMark/>
          </w:tcPr>
          <w:p w:rsidR="0047390F" w:rsidRPr="00681F70" w:rsidRDefault="00EE7244" w:rsidP="00786A76">
            <w:pPr>
              <w:spacing w:after="0" w:line="240" w:lineRule="auto"/>
              <w:jc w:val="right"/>
              <w:rPr>
                <w:rFonts w:ascii="Arial" w:eastAsia="Times New Roman" w:hAnsi="Arial" w:cs="Arial"/>
                <w:b/>
                <w:bCs/>
                <w:color w:val="000000"/>
                <w:sz w:val="16"/>
                <w:szCs w:val="16"/>
                <w:lang w:eastAsia="en-GB"/>
              </w:rPr>
            </w:pPr>
            <w:r w:rsidRPr="00681F70">
              <w:rPr>
                <w:rFonts w:ascii="Arial" w:eastAsia="Times New Roman" w:hAnsi="Arial" w:cs="Arial"/>
                <w:b/>
                <w:bCs/>
                <w:color w:val="000000"/>
                <w:sz w:val="16"/>
                <w:szCs w:val="16"/>
                <w:lang w:eastAsia="en-GB"/>
              </w:rPr>
              <w:t>1,018</w:t>
            </w:r>
          </w:p>
        </w:tc>
      </w:tr>
      <w:tr w:rsidR="00C07FE1" w:rsidTr="0047390F">
        <w:trPr>
          <w:trHeight w:val="70"/>
        </w:trPr>
        <w:tc>
          <w:tcPr>
            <w:tcW w:w="1304" w:type="pct"/>
            <w:tcBorders>
              <w:top w:val="nil"/>
              <w:left w:val="single" w:sz="8" w:space="0" w:color="auto"/>
              <w:bottom w:val="nil"/>
              <w:right w:val="single" w:sz="4" w:space="0" w:color="auto"/>
            </w:tcBorders>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390F" w:rsidRPr="00681F70" w:rsidRDefault="0047390F" w:rsidP="00786A76">
            <w:pPr>
              <w:spacing w:after="0" w:line="240" w:lineRule="auto"/>
              <w:rPr>
                <w:rFonts w:ascii="Arial" w:eastAsia="Times New Roman" w:hAnsi="Arial" w:cs="Arial"/>
                <w:color w:val="000000"/>
                <w:sz w:val="16"/>
                <w:szCs w:val="16"/>
                <w:lang w:eastAsia="en-GB"/>
              </w:rPr>
            </w:pPr>
          </w:p>
        </w:tc>
        <w:tc>
          <w:tcPr>
            <w:tcW w:w="462" w:type="pct"/>
            <w:tcBorders>
              <w:top w:val="nil"/>
              <w:left w:val="single" w:sz="4" w:space="0" w:color="auto"/>
              <w:bottom w:val="nil"/>
              <w:right w:val="single" w:sz="8" w:space="0" w:color="auto"/>
            </w:tcBorders>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 </w:t>
            </w:r>
          </w:p>
        </w:tc>
        <w:tc>
          <w:tcPr>
            <w:tcW w:w="462" w:type="pct"/>
            <w:tcBorders>
              <w:top w:val="nil"/>
              <w:left w:val="nil"/>
              <w:bottom w:val="nil"/>
              <w:right w:val="single" w:sz="8" w:space="0" w:color="auto"/>
            </w:tcBorders>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 </w:t>
            </w:r>
          </w:p>
        </w:tc>
        <w:tc>
          <w:tcPr>
            <w:tcW w:w="462" w:type="pct"/>
            <w:tcBorders>
              <w:top w:val="nil"/>
              <w:left w:val="nil"/>
              <w:bottom w:val="nil"/>
              <w:right w:val="single" w:sz="8" w:space="0" w:color="auto"/>
            </w:tcBorders>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 </w:t>
            </w:r>
          </w:p>
        </w:tc>
        <w:tc>
          <w:tcPr>
            <w:tcW w:w="438" w:type="pct"/>
            <w:tcBorders>
              <w:top w:val="nil"/>
              <w:left w:val="nil"/>
              <w:bottom w:val="nil"/>
              <w:right w:val="single" w:sz="8" w:space="0" w:color="auto"/>
            </w:tcBorders>
            <w:shd w:val="clear" w:color="auto" w:fill="F2F2F2"/>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 </w:t>
            </w:r>
          </w:p>
        </w:tc>
        <w:tc>
          <w:tcPr>
            <w:tcW w:w="410" w:type="pct"/>
            <w:tcBorders>
              <w:top w:val="nil"/>
              <w:left w:val="nil"/>
              <w:bottom w:val="nil"/>
              <w:right w:val="single" w:sz="8" w:space="0" w:color="auto"/>
            </w:tcBorders>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 </w:t>
            </w:r>
          </w:p>
        </w:tc>
        <w:tc>
          <w:tcPr>
            <w:tcW w:w="462" w:type="pct"/>
            <w:tcBorders>
              <w:top w:val="nil"/>
              <w:left w:val="nil"/>
              <w:bottom w:val="nil"/>
              <w:right w:val="single" w:sz="8" w:space="0" w:color="auto"/>
            </w:tcBorders>
            <w:shd w:val="clear" w:color="auto" w:fill="F2F2F2"/>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 </w:t>
            </w:r>
          </w:p>
        </w:tc>
        <w:tc>
          <w:tcPr>
            <w:tcW w:w="461" w:type="pct"/>
            <w:tcBorders>
              <w:top w:val="nil"/>
              <w:left w:val="nil"/>
              <w:bottom w:val="nil"/>
              <w:right w:val="single" w:sz="8" w:space="0" w:color="auto"/>
            </w:tcBorders>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 </w:t>
            </w:r>
          </w:p>
        </w:tc>
      </w:tr>
      <w:tr w:rsidR="00C07FE1" w:rsidTr="0047390F">
        <w:trPr>
          <w:trHeight w:val="465"/>
        </w:trPr>
        <w:tc>
          <w:tcPr>
            <w:tcW w:w="1304" w:type="pct"/>
            <w:tcBorders>
              <w:top w:val="nil"/>
              <w:left w:val="single" w:sz="8" w:space="0" w:color="auto"/>
              <w:bottom w:val="single" w:sz="8" w:space="0" w:color="auto"/>
              <w:right w:val="single" w:sz="4" w:space="0" w:color="auto"/>
            </w:tcBorders>
            <w:vAlign w:val="center"/>
            <w:hideMark/>
          </w:tcPr>
          <w:p w:rsidR="0047390F" w:rsidRPr="00681F70" w:rsidRDefault="00EE7244" w:rsidP="00786A76">
            <w:pPr>
              <w:spacing w:after="0" w:line="240" w:lineRule="auto"/>
              <w:rPr>
                <w:rFonts w:ascii="Arial" w:eastAsia="Times New Roman" w:hAnsi="Arial" w:cs="Arial"/>
                <w:i/>
                <w:color w:val="000000"/>
                <w:sz w:val="16"/>
                <w:szCs w:val="16"/>
                <w:lang w:eastAsia="en-GB"/>
              </w:rPr>
            </w:pPr>
            <w:r w:rsidRPr="00681F70">
              <w:rPr>
                <w:rFonts w:ascii="Arial" w:eastAsia="Times New Roman" w:hAnsi="Arial" w:cs="Arial"/>
                <w:i/>
                <w:color w:val="000000"/>
                <w:sz w:val="16"/>
                <w:szCs w:val="16"/>
                <w:lang w:eastAsia="en-GB"/>
              </w:rPr>
              <w:t>Source: Preston's College, Runshaw College and Training 2000 ESFA data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390F" w:rsidRPr="00681F70" w:rsidRDefault="0047390F" w:rsidP="00786A76">
            <w:pPr>
              <w:spacing w:after="0" w:line="240" w:lineRule="auto"/>
              <w:rPr>
                <w:rFonts w:ascii="Arial" w:eastAsia="Times New Roman" w:hAnsi="Arial" w:cs="Arial"/>
                <w:color w:val="000000"/>
                <w:sz w:val="16"/>
                <w:szCs w:val="16"/>
                <w:lang w:eastAsia="en-GB"/>
              </w:rPr>
            </w:pPr>
          </w:p>
        </w:tc>
        <w:tc>
          <w:tcPr>
            <w:tcW w:w="462" w:type="pct"/>
            <w:tcBorders>
              <w:top w:val="nil"/>
              <w:left w:val="single" w:sz="4" w:space="0" w:color="auto"/>
              <w:bottom w:val="single" w:sz="8" w:space="0" w:color="auto"/>
              <w:right w:val="single" w:sz="8" w:space="0" w:color="auto"/>
            </w:tcBorders>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 </w:t>
            </w:r>
          </w:p>
        </w:tc>
        <w:tc>
          <w:tcPr>
            <w:tcW w:w="462" w:type="pct"/>
            <w:tcBorders>
              <w:top w:val="nil"/>
              <w:left w:val="nil"/>
              <w:bottom w:val="single" w:sz="8" w:space="0" w:color="auto"/>
              <w:right w:val="single" w:sz="8" w:space="0" w:color="auto"/>
            </w:tcBorders>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 </w:t>
            </w:r>
          </w:p>
        </w:tc>
        <w:tc>
          <w:tcPr>
            <w:tcW w:w="462" w:type="pct"/>
            <w:tcBorders>
              <w:top w:val="nil"/>
              <w:left w:val="nil"/>
              <w:bottom w:val="single" w:sz="8" w:space="0" w:color="auto"/>
              <w:right w:val="single" w:sz="8" w:space="0" w:color="auto"/>
            </w:tcBorders>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 </w:t>
            </w:r>
          </w:p>
        </w:tc>
        <w:tc>
          <w:tcPr>
            <w:tcW w:w="438" w:type="pct"/>
            <w:tcBorders>
              <w:top w:val="nil"/>
              <w:left w:val="nil"/>
              <w:bottom w:val="single" w:sz="8" w:space="0" w:color="auto"/>
              <w:right w:val="single" w:sz="8" w:space="0" w:color="auto"/>
            </w:tcBorders>
            <w:shd w:val="clear" w:color="auto" w:fill="F2F2F2"/>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 </w:t>
            </w:r>
          </w:p>
        </w:tc>
        <w:tc>
          <w:tcPr>
            <w:tcW w:w="410" w:type="pct"/>
            <w:tcBorders>
              <w:top w:val="nil"/>
              <w:left w:val="nil"/>
              <w:bottom w:val="single" w:sz="8" w:space="0" w:color="auto"/>
              <w:right w:val="single" w:sz="8" w:space="0" w:color="auto"/>
            </w:tcBorders>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 </w:t>
            </w:r>
          </w:p>
        </w:tc>
        <w:tc>
          <w:tcPr>
            <w:tcW w:w="462" w:type="pct"/>
            <w:tcBorders>
              <w:top w:val="nil"/>
              <w:left w:val="nil"/>
              <w:bottom w:val="single" w:sz="8" w:space="0" w:color="auto"/>
              <w:right w:val="single" w:sz="8" w:space="0" w:color="auto"/>
            </w:tcBorders>
            <w:shd w:val="clear" w:color="auto" w:fill="F2F2F2"/>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 </w:t>
            </w:r>
          </w:p>
        </w:tc>
        <w:tc>
          <w:tcPr>
            <w:tcW w:w="461" w:type="pct"/>
            <w:tcBorders>
              <w:top w:val="nil"/>
              <w:left w:val="nil"/>
              <w:bottom w:val="single" w:sz="4" w:space="0" w:color="auto"/>
              <w:right w:val="single" w:sz="8" w:space="0" w:color="auto"/>
            </w:tcBorders>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 </w:t>
            </w:r>
          </w:p>
        </w:tc>
      </w:tr>
      <w:tr w:rsidR="00C07FE1" w:rsidTr="0047390F">
        <w:trPr>
          <w:trHeight w:val="450"/>
        </w:trPr>
        <w:tc>
          <w:tcPr>
            <w:tcW w:w="1304" w:type="pct"/>
            <w:tcBorders>
              <w:top w:val="nil"/>
              <w:left w:val="single" w:sz="8" w:space="0" w:color="auto"/>
              <w:bottom w:val="nil"/>
              <w:right w:val="single" w:sz="4" w:space="0" w:color="auto"/>
            </w:tcBorders>
            <w:vAlign w:val="center"/>
            <w:hideMark/>
          </w:tcPr>
          <w:p w:rsidR="0047390F" w:rsidRPr="00681F70" w:rsidRDefault="00EE7244" w:rsidP="00786A76">
            <w:pPr>
              <w:spacing w:after="0" w:line="240" w:lineRule="auto"/>
              <w:rPr>
                <w:rFonts w:ascii="Arial" w:eastAsia="Times New Roman" w:hAnsi="Arial" w:cs="Arial"/>
                <w:b/>
                <w:bCs/>
                <w:color w:val="000000"/>
                <w:sz w:val="16"/>
                <w:szCs w:val="16"/>
                <w:lang w:eastAsia="en-GB"/>
              </w:rPr>
            </w:pPr>
            <w:r w:rsidRPr="00681F70">
              <w:rPr>
                <w:rFonts w:ascii="Arial" w:eastAsia="Times New Roman" w:hAnsi="Arial" w:cs="Arial"/>
                <w:b/>
                <w:bCs/>
                <w:color w:val="000000"/>
                <w:sz w:val="16"/>
                <w:szCs w:val="16"/>
                <w:lang w:eastAsia="en-GB"/>
              </w:rPr>
              <w:t xml:space="preserve">3. HE leavers getting graduate jobs in construction and engineering </w:t>
            </w:r>
          </w:p>
        </w:tc>
        <w:tc>
          <w:tcPr>
            <w:tcW w:w="539" w:type="pct"/>
            <w:tcBorders>
              <w:top w:val="single" w:sz="4" w:space="0" w:color="auto"/>
              <w:left w:val="single" w:sz="4" w:space="0" w:color="auto"/>
              <w:bottom w:val="nil"/>
              <w:right w:val="single" w:sz="4" w:space="0" w:color="auto"/>
            </w:tcBorders>
            <w:vAlign w:val="center"/>
            <w:hideMark/>
          </w:tcPr>
          <w:p w:rsidR="0047390F" w:rsidRPr="00681F70" w:rsidRDefault="00EE7244" w:rsidP="00786A76">
            <w:pPr>
              <w:spacing w:after="0" w:line="240" w:lineRule="auto"/>
              <w:jc w:val="right"/>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 </w:t>
            </w:r>
          </w:p>
        </w:tc>
        <w:tc>
          <w:tcPr>
            <w:tcW w:w="462" w:type="pct"/>
            <w:tcBorders>
              <w:top w:val="nil"/>
              <w:left w:val="single" w:sz="4" w:space="0" w:color="auto"/>
              <w:bottom w:val="nil"/>
              <w:right w:val="single" w:sz="8" w:space="0" w:color="auto"/>
            </w:tcBorders>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 </w:t>
            </w:r>
          </w:p>
        </w:tc>
        <w:tc>
          <w:tcPr>
            <w:tcW w:w="462" w:type="pct"/>
            <w:tcBorders>
              <w:top w:val="nil"/>
              <w:left w:val="nil"/>
              <w:bottom w:val="nil"/>
              <w:right w:val="single" w:sz="8" w:space="0" w:color="auto"/>
            </w:tcBorders>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 </w:t>
            </w:r>
          </w:p>
        </w:tc>
        <w:tc>
          <w:tcPr>
            <w:tcW w:w="462" w:type="pct"/>
            <w:tcBorders>
              <w:top w:val="nil"/>
              <w:left w:val="nil"/>
              <w:bottom w:val="nil"/>
              <w:right w:val="single" w:sz="8" w:space="0" w:color="auto"/>
            </w:tcBorders>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 </w:t>
            </w:r>
          </w:p>
        </w:tc>
        <w:tc>
          <w:tcPr>
            <w:tcW w:w="438" w:type="pct"/>
            <w:tcBorders>
              <w:top w:val="nil"/>
              <w:left w:val="nil"/>
              <w:bottom w:val="nil"/>
              <w:right w:val="single" w:sz="8" w:space="0" w:color="auto"/>
            </w:tcBorders>
            <w:shd w:val="clear" w:color="auto" w:fill="F2F2F2"/>
            <w:vAlign w:val="center"/>
            <w:hideMark/>
          </w:tcPr>
          <w:p w:rsidR="0047390F" w:rsidRPr="00681F70" w:rsidRDefault="00EE7244" w:rsidP="00786A76">
            <w:pPr>
              <w:spacing w:after="0" w:line="240" w:lineRule="auto"/>
              <w:jc w:val="right"/>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5%</w:t>
            </w:r>
          </w:p>
        </w:tc>
        <w:tc>
          <w:tcPr>
            <w:tcW w:w="410" w:type="pct"/>
            <w:tcBorders>
              <w:top w:val="nil"/>
              <w:left w:val="nil"/>
              <w:bottom w:val="nil"/>
              <w:right w:val="single" w:sz="8" w:space="0" w:color="auto"/>
            </w:tcBorders>
            <w:vAlign w:val="center"/>
            <w:hideMark/>
          </w:tcPr>
          <w:p w:rsidR="0047390F" w:rsidRPr="00681F70" w:rsidRDefault="00EE7244" w:rsidP="00786A76">
            <w:pPr>
              <w:spacing w:after="0" w:line="240" w:lineRule="auto"/>
              <w:jc w:val="right"/>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9%</w:t>
            </w:r>
          </w:p>
        </w:tc>
        <w:tc>
          <w:tcPr>
            <w:tcW w:w="462" w:type="pct"/>
            <w:tcBorders>
              <w:top w:val="nil"/>
              <w:left w:val="nil"/>
              <w:bottom w:val="nil"/>
              <w:right w:val="single" w:sz="4" w:space="0" w:color="auto"/>
            </w:tcBorders>
            <w:shd w:val="clear" w:color="auto" w:fill="F2F2F2"/>
            <w:vAlign w:val="center"/>
            <w:hideMark/>
          </w:tcPr>
          <w:p w:rsidR="0047390F" w:rsidRPr="00681F70" w:rsidRDefault="00EE7244" w:rsidP="00786A76">
            <w:pPr>
              <w:spacing w:after="0" w:line="240" w:lineRule="auto"/>
              <w:jc w:val="right"/>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5%</w:t>
            </w:r>
          </w:p>
        </w:tc>
        <w:tc>
          <w:tcPr>
            <w:tcW w:w="461" w:type="pct"/>
            <w:vMerge w:val="restart"/>
            <w:tcBorders>
              <w:top w:val="single" w:sz="4" w:space="0" w:color="auto"/>
              <w:left w:val="single" w:sz="4" w:space="0" w:color="auto"/>
              <w:bottom w:val="single" w:sz="4" w:space="0" w:color="auto"/>
              <w:right w:val="single" w:sz="4" w:space="0" w:color="auto"/>
            </w:tcBorders>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br/>
              <w:t>2016/17 is the latest data available</w:t>
            </w:r>
          </w:p>
        </w:tc>
      </w:tr>
      <w:tr w:rsidR="00C07FE1" w:rsidTr="0047390F">
        <w:trPr>
          <w:trHeight w:val="107"/>
        </w:trPr>
        <w:tc>
          <w:tcPr>
            <w:tcW w:w="1304" w:type="pct"/>
            <w:tcBorders>
              <w:top w:val="nil"/>
              <w:left w:val="single" w:sz="8" w:space="0" w:color="auto"/>
              <w:bottom w:val="nil"/>
              <w:right w:val="single" w:sz="4" w:space="0" w:color="auto"/>
            </w:tcBorders>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 </w:t>
            </w:r>
          </w:p>
        </w:tc>
        <w:tc>
          <w:tcPr>
            <w:tcW w:w="539" w:type="pct"/>
            <w:tcBorders>
              <w:top w:val="nil"/>
              <w:left w:val="single" w:sz="4" w:space="0" w:color="auto"/>
              <w:bottom w:val="nil"/>
              <w:right w:val="single" w:sz="4" w:space="0" w:color="auto"/>
            </w:tcBorders>
            <w:vAlign w:val="center"/>
            <w:hideMark/>
          </w:tcPr>
          <w:p w:rsidR="0047390F" w:rsidRPr="00681F70" w:rsidRDefault="00EE7244" w:rsidP="00786A76">
            <w:pPr>
              <w:spacing w:after="0" w:line="240" w:lineRule="auto"/>
              <w:jc w:val="right"/>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 </w:t>
            </w:r>
          </w:p>
        </w:tc>
        <w:tc>
          <w:tcPr>
            <w:tcW w:w="462" w:type="pct"/>
            <w:tcBorders>
              <w:top w:val="nil"/>
              <w:left w:val="single" w:sz="4" w:space="0" w:color="auto"/>
              <w:bottom w:val="nil"/>
              <w:right w:val="single" w:sz="8" w:space="0" w:color="auto"/>
            </w:tcBorders>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 </w:t>
            </w:r>
          </w:p>
        </w:tc>
        <w:tc>
          <w:tcPr>
            <w:tcW w:w="462" w:type="pct"/>
            <w:tcBorders>
              <w:top w:val="nil"/>
              <w:left w:val="nil"/>
              <w:bottom w:val="nil"/>
              <w:right w:val="single" w:sz="8" w:space="0" w:color="auto"/>
            </w:tcBorders>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 </w:t>
            </w:r>
          </w:p>
        </w:tc>
        <w:tc>
          <w:tcPr>
            <w:tcW w:w="462" w:type="pct"/>
            <w:tcBorders>
              <w:top w:val="nil"/>
              <w:left w:val="nil"/>
              <w:bottom w:val="nil"/>
              <w:right w:val="single" w:sz="8" w:space="0" w:color="auto"/>
            </w:tcBorders>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 </w:t>
            </w:r>
          </w:p>
        </w:tc>
        <w:tc>
          <w:tcPr>
            <w:tcW w:w="438" w:type="pct"/>
            <w:tcBorders>
              <w:top w:val="nil"/>
              <w:left w:val="nil"/>
              <w:bottom w:val="nil"/>
              <w:right w:val="single" w:sz="8" w:space="0" w:color="auto"/>
            </w:tcBorders>
            <w:shd w:val="clear" w:color="auto" w:fill="F2F2F2"/>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 </w:t>
            </w:r>
          </w:p>
        </w:tc>
        <w:tc>
          <w:tcPr>
            <w:tcW w:w="410" w:type="pct"/>
            <w:tcBorders>
              <w:top w:val="nil"/>
              <w:left w:val="nil"/>
              <w:bottom w:val="nil"/>
              <w:right w:val="single" w:sz="8" w:space="0" w:color="auto"/>
            </w:tcBorders>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 </w:t>
            </w:r>
          </w:p>
        </w:tc>
        <w:tc>
          <w:tcPr>
            <w:tcW w:w="462" w:type="pct"/>
            <w:tcBorders>
              <w:top w:val="nil"/>
              <w:left w:val="nil"/>
              <w:bottom w:val="nil"/>
              <w:right w:val="single" w:sz="4" w:space="0" w:color="auto"/>
            </w:tcBorders>
            <w:shd w:val="clear" w:color="auto" w:fill="F2F2F2"/>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390F" w:rsidRPr="00681F70" w:rsidRDefault="0047390F" w:rsidP="00786A76">
            <w:pPr>
              <w:spacing w:after="0" w:line="240" w:lineRule="auto"/>
              <w:rPr>
                <w:rFonts w:ascii="Arial" w:eastAsia="Times New Roman" w:hAnsi="Arial" w:cs="Arial"/>
                <w:color w:val="000000"/>
                <w:sz w:val="16"/>
                <w:szCs w:val="16"/>
                <w:lang w:eastAsia="en-GB"/>
              </w:rPr>
            </w:pPr>
          </w:p>
        </w:tc>
      </w:tr>
      <w:tr w:rsidR="00C07FE1" w:rsidTr="0047390F">
        <w:trPr>
          <w:trHeight w:val="675"/>
        </w:trPr>
        <w:tc>
          <w:tcPr>
            <w:tcW w:w="1304" w:type="pct"/>
            <w:tcBorders>
              <w:top w:val="nil"/>
              <w:left w:val="single" w:sz="8" w:space="0" w:color="auto"/>
              <w:bottom w:val="nil"/>
              <w:right w:val="single" w:sz="4" w:space="0" w:color="auto"/>
            </w:tcBorders>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Destinations of leavers in higher education (DLHE) into construction and engineering graduate jobs.  Additional numbers beyond the 2012/13 baseline</w:t>
            </w:r>
          </w:p>
        </w:tc>
        <w:tc>
          <w:tcPr>
            <w:tcW w:w="539" w:type="pct"/>
            <w:tcBorders>
              <w:top w:val="nil"/>
              <w:left w:val="single" w:sz="4" w:space="0" w:color="auto"/>
              <w:bottom w:val="nil"/>
              <w:right w:val="single" w:sz="4" w:space="0" w:color="auto"/>
            </w:tcBorders>
            <w:vAlign w:val="center"/>
            <w:hideMark/>
          </w:tcPr>
          <w:p w:rsidR="0047390F" w:rsidRPr="00681F70" w:rsidRDefault="00EE7244" w:rsidP="00786A76">
            <w:pPr>
              <w:spacing w:after="0" w:line="240" w:lineRule="auto"/>
              <w:jc w:val="right"/>
              <w:rPr>
                <w:rFonts w:ascii="Arial" w:eastAsia="Times New Roman" w:hAnsi="Arial" w:cs="Arial"/>
                <w:b/>
                <w:bCs/>
                <w:color w:val="000000"/>
                <w:sz w:val="16"/>
                <w:szCs w:val="16"/>
                <w:lang w:eastAsia="en-GB"/>
              </w:rPr>
            </w:pPr>
            <w:r w:rsidRPr="00681F70">
              <w:rPr>
                <w:rFonts w:ascii="Arial" w:eastAsia="Times New Roman" w:hAnsi="Arial" w:cs="Arial"/>
                <w:b/>
                <w:bCs/>
                <w:color w:val="000000"/>
                <w:sz w:val="16"/>
                <w:szCs w:val="16"/>
                <w:lang w:eastAsia="en-GB"/>
              </w:rPr>
              <w:t>85</w:t>
            </w:r>
          </w:p>
        </w:tc>
        <w:tc>
          <w:tcPr>
            <w:tcW w:w="462" w:type="pct"/>
            <w:tcBorders>
              <w:top w:val="nil"/>
              <w:left w:val="single" w:sz="4" w:space="0" w:color="auto"/>
              <w:bottom w:val="nil"/>
              <w:right w:val="single" w:sz="8" w:space="0" w:color="auto"/>
            </w:tcBorders>
            <w:vAlign w:val="center"/>
            <w:hideMark/>
          </w:tcPr>
          <w:p w:rsidR="0047390F" w:rsidRPr="00681F70" w:rsidRDefault="00EE7244" w:rsidP="00786A76">
            <w:pPr>
              <w:spacing w:after="0" w:line="240" w:lineRule="auto"/>
              <w:jc w:val="right"/>
              <w:rPr>
                <w:rFonts w:ascii="Arial" w:eastAsia="Times New Roman" w:hAnsi="Arial" w:cs="Arial"/>
                <w:b/>
                <w:bCs/>
                <w:color w:val="000000"/>
                <w:sz w:val="16"/>
                <w:szCs w:val="16"/>
                <w:lang w:eastAsia="en-GB"/>
              </w:rPr>
            </w:pPr>
            <w:r w:rsidRPr="00681F70">
              <w:rPr>
                <w:rFonts w:ascii="Arial" w:eastAsia="Times New Roman" w:hAnsi="Arial" w:cs="Arial"/>
                <w:b/>
                <w:bCs/>
                <w:color w:val="000000"/>
                <w:sz w:val="16"/>
                <w:szCs w:val="16"/>
                <w:lang w:eastAsia="en-GB"/>
              </w:rPr>
              <w:t>116</w:t>
            </w:r>
          </w:p>
        </w:tc>
        <w:tc>
          <w:tcPr>
            <w:tcW w:w="462" w:type="pct"/>
            <w:tcBorders>
              <w:top w:val="nil"/>
              <w:left w:val="nil"/>
              <w:bottom w:val="nil"/>
              <w:right w:val="single" w:sz="8" w:space="0" w:color="auto"/>
            </w:tcBorders>
            <w:vAlign w:val="center"/>
            <w:hideMark/>
          </w:tcPr>
          <w:p w:rsidR="0047390F" w:rsidRPr="00681F70" w:rsidRDefault="00EE7244" w:rsidP="00786A76">
            <w:pPr>
              <w:spacing w:after="0" w:line="240" w:lineRule="auto"/>
              <w:jc w:val="right"/>
              <w:rPr>
                <w:rFonts w:ascii="Arial" w:eastAsia="Times New Roman" w:hAnsi="Arial" w:cs="Arial"/>
                <w:b/>
                <w:bCs/>
                <w:color w:val="000000"/>
                <w:sz w:val="16"/>
                <w:szCs w:val="16"/>
                <w:lang w:eastAsia="en-GB"/>
              </w:rPr>
            </w:pPr>
            <w:r w:rsidRPr="00681F70">
              <w:rPr>
                <w:rFonts w:ascii="Arial" w:eastAsia="Times New Roman" w:hAnsi="Arial" w:cs="Arial"/>
                <w:b/>
                <w:bCs/>
                <w:color w:val="000000"/>
                <w:sz w:val="16"/>
                <w:szCs w:val="16"/>
                <w:lang w:eastAsia="en-GB"/>
              </w:rPr>
              <w:t>69</w:t>
            </w:r>
          </w:p>
        </w:tc>
        <w:tc>
          <w:tcPr>
            <w:tcW w:w="462" w:type="pct"/>
            <w:tcBorders>
              <w:top w:val="nil"/>
              <w:left w:val="nil"/>
              <w:bottom w:val="nil"/>
              <w:right w:val="single" w:sz="8" w:space="0" w:color="auto"/>
            </w:tcBorders>
            <w:vAlign w:val="center"/>
            <w:hideMark/>
          </w:tcPr>
          <w:p w:rsidR="0047390F" w:rsidRPr="00681F70" w:rsidRDefault="00EE7244" w:rsidP="00786A76">
            <w:pPr>
              <w:spacing w:after="0" w:line="240" w:lineRule="auto"/>
              <w:jc w:val="right"/>
              <w:rPr>
                <w:rFonts w:ascii="Arial" w:eastAsia="Times New Roman" w:hAnsi="Arial" w:cs="Arial"/>
                <w:b/>
                <w:bCs/>
                <w:color w:val="000000"/>
                <w:sz w:val="16"/>
                <w:szCs w:val="16"/>
                <w:lang w:eastAsia="en-GB"/>
              </w:rPr>
            </w:pPr>
            <w:r w:rsidRPr="00681F70">
              <w:rPr>
                <w:rFonts w:ascii="Arial" w:eastAsia="Times New Roman" w:hAnsi="Arial" w:cs="Arial"/>
                <w:b/>
                <w:bCs/>
                <w:color w:val="000000"/>
                <w:sz w:val="16"/>
                <w:szCs w:val="16"/>
                <w:lang w:eastAsia="en-GB"/>
              </w:rPr>
              <w:t>78</w:t>
            </w:r>
          </w:p>
        </w:tc>
        <w:tc>
          <w:tcPr>
            <w:tcW w:w="438" w:type="pct"/>
            <w:tcBorders>
              <w:top w:val="nil"/>
              <w:left w:val="nil"/>
              <w:bottom w:val="nil"/>
              <w:right w:val="single" w:sz="8" w:space="0" w:color="auto"/>
            </w:tcBorders>
            <w:shd w:val="clear" w:color="auto" w:fill="F2F2F2"/>
            <w:vAlign w:val="center"/>
            <w:hideMark/>
          </w:tcPr>
          <w:p w:rsidR="0047390F" w:rsidRPr="00681F70" w:rsidRDefault="00EE7244" w:rsidP="00786A76">
            <w:pPr>
              <w:spacing w:after="0" w:line="240" w:lineRule="auto"/>
              <w:jc w:val="right"/>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82</w:t>
            </w:r>
          </w:p>
        </w:tc>
        <w:tc>
          <w:tcPr>
            <w:tcW w:w="410" w:type="pct"/>
            <w:tcBorders>
              <w:top w:val="nil"/>
              <w:left w:val="nil"/>
              <w:bottom w:val="nil"/>
              <w:right w:val="single" w:sz="4" w:space="0" w:color="auto"/>
            </w:tcBorders>
            <w:vAlign w:val="center"/>
            <w:hideMark/>
          </w:tcPr>
          <w:p w:rsidR="0047390F" w:rsidRPr="00681F70" w:rsidRDefault="00EE7244" w:rsidP="00786A76">
            <w:pPr>
              <w:spacing w:after="0" w:line="240" w:lineRule="auto"/>
              <w:jc w:val="right"/>
              <w:rPr>
                <w:rFonts w:ascii="Arial" w:eastAsia="Times New Roman" w:hAnsi="Arial" w:cs="Arial"/>
                <w:b/>
                <w:bCs/>
                <w:color w:val="000000"/>
                <w:sz w:val="16"/>
                <w:szCs w:val="16"/>
                <w:lang w:eastAsia="en-GB"/>
              </w:rPr>
            </w:pPr>
            <w:r w:rsidRPr="00681F70">
              <w:rPr>
                <w:rFonts w:ascii="Arial" w:eastAsia="Times New Roman" w:hAnsi="Arial" w:cs="Arial"/>
                <w:b/>
                <w:bCs/>
                <w:color w:val="000000"/>
                <w:sz w:val="16"/>
                <w:szCs w:val="16"/>
                <w:lang w:eastAsia="en-GB"/>
              </w:rPr>
              <w:t>85</w:t>
            </w:r>
          </w:p>
        </w:tc>
        <w:tc>
          <w:tcPr>
            <w:tcW w:w="462" w:type="pct"/>
            <w:tcBorders>
              <w:top w:val="nil"/>
              <w:left w:val="single" w:sz="4" w:space="0" w:color="auto"/>
              <w:bottom w:val="nil"/>
              <w:right w:val="single" w:sz="4" w:space="0" w:color="auto"/>
            </w:tcBorders>
            <w:shd w:val="clear" w:color="auto" w:fill="F2F2F2"/>
            <w:vAlign w:val="center"/>
            <w:hideMark/>
          </w:tcPr>
          <w:p w:rsidR="0047390F" w:rsidRPr="00681F70" w:rsidRDefault="00EE7244" w:rsidP="00786A76">
            <w:pPr>
              <w:spacing w:after="0" w:line="240" w:lineRule="auto"/>
              <w:jc w:val="right"/>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89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390F" w:rsidRPr="00681F70" w:rsidRDefault="0047390F" w:rsidP="00786A76">
            <w:pPr>
              <w:spacing w:after="0" w:line="240" w:lineRule="auto"/>
              <w:rPr>
                <w:rFonts w:ascii="Arial" w:eastAsia="Times New Roman" w:hAnsi="Arial" w:cs="Arial"/>
                <w:color w:val="000000"/>
                <w:sz w:val="16"/>
                <w:szCs w:val="16"/>
                <w:lang w:eastAsia="en-GB"/>
              </w:rPr>
            </w:pPr>
          </w:p>
        </w:tc>
      </w:tr>
      <w:tr w:rsidR="00C07FE1" w:rsidTr="0047390F">
        <w:trPr>
          <w:trHeight w:val="315"/>
        </w:trPr>
        <w:tc>
          <w:tcPr>
            <w:tcW w:w="1304" w:type="pct"/>
            <w:tcBorders>
              <w:top w:val="nil"/>
              <w:left w:val="single" w:sz="8" w:space="0" w:color="auto"/>
              <w:bottom w:val="single" w:sz="8" w:space="0" w:color="auto"/>
              <w:right w:val="single" w:sz="4" w:space="0" w:color="auto"/>
            </w:tcBorders>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Source: DLHE Data</w:t>
            </w:r>
          </w:p>
        </w:tc>
        <w:tc>
          <w:tcPr>
            <w:tcW w:w="539" w:type="pct"/>
            <w:tcBorders>
              <w:top w:val="nil"/>
              <w:left w:val="single" w:sz="4" w:space="0" w:color="auto"/>
              <w:bottom w:val="single" w:sz="4" w:space="0" w:color="auto"/>
              <w:right w:val="single" w:sz="4" w:space="0" w:color="auto"/>
            </w:tcBorders>
            <w:vAlign w:val="center"/>
            <w:hideMark/>
          </w:tcPr>
          <w:p w:rsidR="0047390F" w:rsidRPr="00681F70" w:rsidRDefault="00EE7244" w:rsidP="00786A76">
            <w:pPr>
              <w:spacing w:after="0" w:line="240" w:lineRule="auto"/>
              <w:jc w:val="right"/>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 </w:t>
            </w:r>
          </w:p>
        </w:tc>
        <w:tc>
          <w:tcPr>
            <w:tcW w:w="462" w:type="pct"/>
            <w:tcBorders>
              <w:top w:val="nil"/>
              <w:left w:val="single" w:sz="4" w:space="0" w:color="auto"/>
              <w:bottom w:val="single" w:sz="8" w:space="0" w:color="auto"/>
              <w:right w:val="single" w:sz="8" w:space="0" w:color="auto"/>
            </w:tcBorders>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 </w:t>
            </w:r>
          </w:p>
        </w:tc>
        <w:tc>
          <w:tcPr>
            <w:tcW w:w="462" w:type="pct"/>
            <w:tcBorders>
              <w:top w:val="nil"/>
              <w:left w:val="nil"/>
              <w:bottom w:val="single" w:sz="8" w:space="0" w:color="auto"/>
              <w:right w:val="single" w:sz="8" w:space="0" w:color="auto"/>
            </w:tcBorders>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 </w:t>
            </w:r>
          </w:p>
        </w:tc>
        <w:tc>
          <w:tcPr>
            <w:tcW w:w="462" w:type="pct"/>
            <w:tcBorders>
              <w:top w:val="nil"/>
              <w:left w:val="nil"/>
              <w:bottom w:val="single" w:sz="8" w:space="0" w:color="auto"/>
              <w:right w:val="single" w:sz="8" w:space="0" w:color="auto"/>
            </w:tcBorders>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 </w:t>
            </w:r>
          </w:p>
        </w:tc>
        <w:tc>
          <w:tcPr>
            <w:tcW w:w="438" w:type="pct"/>
            <w:tcBorders>
              <w:top w:val="nil"/>
              <w:left w:val="nil"/>
              <w:bottom w:val="single" w:sz="8" w:space="0" w:color="auto"/>
              <w:right w:val="single" w:sz="8" w:space="0" w:color="auto"/>
            </w:tcBorders>
            <w:shd w:val="clear" w:color="auto" w:fill="F2F2F2"/>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 </w:t>
            </w:r>
          </w:p>
        </w:tc>
        <w:tc>
          <w:tcPr>
            <w:tcW w:w="410" w:type="pct"/>
            <w:tcBorders>
              <w:top w:val="nil"/>
              <w:left w:val="nil"/>
              <w:bottom w:val="single" w:sz="8" w:space="0" w:color="auto"/>
              <w:right w:val="single" w:sz="4" w:space="0" w:color="auto"/>
            </w:tcBorders>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 </w:t>
            </w:r>
          </w:p>
        </w:tc>
        <w:tc>
          <w:tcPr>
            <w:tcW w:w="462" w:type="pct"/>
            <w:tcBorders>
              <w:top w:val="nil"/>
              <w:left w:val="single" w:sz="4" w:space="0" w:color="auto"/>
              <w:bottom w:val="single" w:sz="4" w:space="0" w:color="auto"/>
              <w:right w:val="single" w:sz="4" w:space="0" w:color="auto"/>
            </w:tcBorders>
            <w:shd w:val="clear" w:color="auto" w:fill="F2F2F2"/>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390F" w:rsidRPr="00681F70" w:rsidRDefault="0047390F" w:rsidP="00786A76">
            <w:pPr>
              <w:spacing w:after="0" w:line="240" w:lineRule="auto"/>
              <w:rPr>
                <w:rFonts w:ascii="Arial" w:eastAsia="Times New Roman" w:hAnsi="Arial" w:cs="Arial"/>
                <w:color w:val="000000"/>
                <w:sz w:val="16"/>
                <w:szCs w:val="16"/>
                <w:lang w:eastAsia="en-GB"/>
              </w:rPr>
            </w:pPr>
          </w:p>
        </w:tc>
      </w:tr>
      <w:tr w:rsidR="00C07FE1" w:rsidTr="0047390F">
        <w:trPr>
          <w:trHeight w:val="300"/>
        </w:trPr>
        <w:tc>
          <w:tcPr>
            <w:tcW w:w="1304" w:type="pct"/>
            <w:tcBorders>
              <w:top w:val="nil"/>
              <w:left w:val="single" w:sz="8" w:space="0" w:color="auto"/>
              <w:bottom w:val="nil"/>
              <w:right w:val="single" w:sz="4" w:space="0" w:color="auto"/>
            </w:tcBorders>
            <w:vAlign w:val="center"/>
            <w:hideMark/>
          </w:tcPr>
          <w:p w:rsidR="0047390F" w:rsidRPr="00681F70" w:rsidRDefault="00EE7244" w:rsidP="00786A76">
            <w:pPr>
              <w:spacing w:after="0" w:line="240" w:lineRule="auto"/>
              <w:rPr>
                <w:rFonts w:ascii="Arial" w:eastAsia="Times New Roman" w:hAnsi="Arial" w:cs="Arial"/>
                <w:b/>
                <w:bCs/>
                <w:color w:val="000000"/>
                <w:sz w:val="16"/>
                <w:szCs w:val="16"/>
                <w:lang w:eastAsia="en-GB"/>
              </w:rPr>
            </w:pPr>
            <w:r w:rsidRPr="00681F70">
              <w:rPr>
                <w:rFonts w:ascii="Arial" w:eastAsia="Times New Roman" w:hAnsi="Arial" w:cs="Arial"/>
                <w:b/>
                <w:bCs/>
                <w:color w:val="000000"/>
                <w:sz w:val="16"/>
                <w:szCs w:val="16"/>
                <w:lang w:eastAsia="en-GB"/>
              </w:rPr>
              <w:t>4. HE leavers getting graduate jobs in all sectors</w:t>
            </w:r>
          </w:p>
        </w:tc>
        <w:tc>
          <w:tcPr>
            <w:tcW w:w="539" w:type="pct"/>
            <w:tcBorders>
              <w:top w:val="single" w:sz="4" w:space="0" w:color="auto"/>
              <w:left w:val="single" w:sz="4" w:space="0" w:color="auto"/>
              <w:bottom w:val="nil"/>
              <w:right w:val="single" w:sz="4" w:space="0" w:color="auto"/>
            </w:tcBorders>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 </w:t>
            </w:r>
          </w:p>
        </w:tc>
        <w:tc>
          <w:tcPr>
            <w:tcW w:w="462" w:type="pct"/>
            <w:tcBorders>
              <w:top w:val="nil"/>
              <w:left w:val="single" w:sz="4" w:space="0" w:color="auto"/>
              <w:bottom w:val="nil"/>
              <w:right w:val="single" w:sz="8" w:space="0" w:color="auto"/>
            </w:tcBorders>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 </w:t>
            </w:r>
          </w:p>
        </w:tc>
        <w:tc>
          <w:tcPr>
            <w:tcW w:w="462" w:type="pct"/>
            <w:tcBorders>
              <w:top w:val="nil"/>
              <w:left w:val="nil"/>
              <w:bottom w:val="nil"/>
              <w:right w:val="single" w:sz="8" w:space="0" w:color="auto"/>
            </w:tcBorders>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 </w:t>
            </w:r>
          </w:p>
        </w:tc>
        <w:tc>
          <w:tcPr>
            <w:tcW w:w="462" w:type="pct"/>
            <w:tcBorders>
              <w:top w:val="nil"/>
              <w:left w:val="nil"/>
              <w:bottom w:val="nil"/>
              <w:right w:val="single" w:sz="8" w:space="0" w:color="auto"/>
            </w:tcBorders>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 </w:t>
            </w:r>
          </w:p>
        </w:tc>
        <w:tc>
          <w:tcPr>
            <w:tcW w:w="438" w:type="pct"/>
            <w:tcBorders>
              <w:top w:val="nil"/>
              <w:left w:val="nil"/>
              <w:bottom w:val="nil"/>
              <w:right w:val="single" w:sz="8" w:space="0" w:color="auto"/>
            </w:tcBorders>
            <w:shd w:val="clear" w:color="auto" w:fill="F2F2F2"/>
            <w:vAlign w:val="center"/>
            <w:hideMark/>
          </w:tcPr>
          <w:p w:rsidR="0047390F" w:rsidRPr="00681F70" w:rsidRDefault="00EE7244" w:rsidP="00786A76">
            <w:pPr>
              <w:spacing w:after="0" w:line="240" w:lineRule="auto"/>
              <w:jc w:val="right"/>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2.5%</w:t>
            </w:r>
          </w:p>
        </w:tc>
        <w:tc>
          <w:tcPr>
            <w:tcW w:w="410" w:type="pct"/>
            <w:tcBorders>
              <w:top w:val="nil"/>
              <w:left w:val="nil"/>
              <w:bottom w:val="nil"/>
              <w:right w:val="single" w:sz="8" w:space="0" w:color="auto"/>
            </w:tcBorders>
            <w:vAlign w:val="center"/>
            <w:hideMark/>
          </w:tcPr>
          <w:p w:rsidR="0047390F" w:rsidRPr="00681F70" w:rsidRDefault="00EE7244" w:rsidP="00786A76">
            <w:pPr>
              <w:spacing w:after="0" w:line="240" w:lineRule="auto"/>
              <w:jc w:val="right"/>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-2%</w:t>
            </w:r>
          </w:p>
        </w:tc>
        <w:tc>
          <w:tcPr>
            <w:tcW w:w="462" w:type="pct"/>
            <w:tcBorders>
              <w:top w:val="single" w:sz="4" w:space="0" w:color="auto"/>
              <w:left w:val="nil"/>
              <w:bottom w:val="nil"/>
              <w:right w:val="single" w:sz="8" w:space="0" w:color="auto"/>
            </w:tcBorders>
            <w:shd w:val="clear" w:color="auto" w:fill="F2F2F2"/>
            <w:vAlign w:val="center"/>
            <w:hideMark/>
          </w:tcPr>
          <w:p w:rsidR="0047390F" w:rsidRPr="00681F70" w:rsidRDefault="00EE7244" w:rsidP="00786A76">
            <w:pPr>
              <w:spacing w:after="0" w:line="240" w:lineRule="auto"/>
              <w:jc w:val="right"/>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2.5%</w:t>
            </w:r>
          </w:p>
        </w:tc>
        <w:tc>
          <w:tcPr>
            <w:tcW w:w="461" w:type="pct"/>
            <w:vMerge w:val="restart"/>
            <w:tcBorders>
              <w:top w:val="single" w:sz="4" w:space="0" w:color="auto"/>
              <w:left w:val="single" w:sz="8" w:space="0" w:color="auto"/>
              <w:bottom w:val="single" w:sz="8" w:space="0" w:color="000000"/>
              <w:right w:val="single" w:sz="8" w:space="0" w:color="auto"/>
            </w:tcBorders>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2016/17 is the latest data available</w:t>
            </w:r>
          </w:p>
        </w:tc>
      </w:tr>
      <w:tr w:rsidR="00C07FE1" w:rsidTr="0047390F">
        <w:trPr>
          <w:trHeight w:val="675"/>
        </w:trPr>
        <w:tc>
          <w:tcPr>
            <w:tcW w:w="1304" w:type="pct"/>
            <w:tcBorders>
              <w:top w:val="nil"/>
              <w:left w:val="single" w:sz="8" w:space="0" w:color="auto"/>
              <w:bottom w:val="nil"/>
              <w:right w:val="single" w:sz="4" w:space="0" w:color="auto"/>
            </w:tcBorders>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Destinations of leavers in higher education (DLHE) into all graduate jobs.  Additional numbers beyond the 2012/13 baseline</w:t>
            </w:r>
          </w:p>
        </w:tc>
        <w:tc>
          <w:tcPr>
            <w:tcW w:w="539" w:type="pct"/>
            <w:tcBorders>
              <w:top w:val="nil"/>
              <w:left w:val="single" w:sz="4" w:space="0" w:color="auto"/>
              <w:bottom w:val="nil"/>
              <w:right w:val="single" w:sz="4" w:space="0" w:color="auto"/>
            </w:tcBorders>
            <w:vAlign w:val="center"/>
            <w:hideMark/>
          </w:tcPr>
          <w:p w:rsidR="0047390F" w:rsidRPr="00681F70" w:rsidRDefault="00EE7244" w:rsidP="00786A76">
            <w:pPr>
              <w:spacing w:after="0" w:line="240" w:lineRule="auto"/>
              <w:jc w:val="right"/>
              <w:rPr>
                <w:rFonts w:ascii="Arial" w:eastAsia="Times New Roman" w:hAnsi="Arial" w:cs="Arial"/>
                <w:b/>
                <w:bCs/>
                <w:color w:val="000000"/>
                <w:sz w:val="16"/>
                <w:szCs w:val="16"/>
                <w:lang w:eastAsia="en-GB"/>
              </w:rPr>
            </w:pPr>
            <w:r w:rsidRPr="00681F70">
              <w:rPr>
                <w:rFonts w:ascii="Arial" w:eastAsia="Times New Roman" w:hAnsi="Arial" w:cs="Arial"/>
                <w:b/>
                <w:bCs/>
                <w:color w:val="000000"/>
                <w:sz w:val="16"/>
                <w:szCs w:val="16"/>
                <w:lang w:eastAsia="en-GB"/>
              </w:rPr>
              <w:t>4,223</w:t>
            </w:r>
          </w:p>
        </w:tc>
        <w:tc>
          <w:tcPr>
            <w:tcW w:w="462" w:type="pct"/>
            <w:tcBorders>
              <w:top w:val="nil"/>
              <w:left w:val="single" w:sz="4" w:space="0" w:color="auto"/>
              <w:bottom w:val="nil"/>
              <w:right w:val="single" w:sz="8" w:space="0" w:color="auto"/>
            </w:tcBorders>
            <w:vAlign w:val="center"/>
            <w:hideMark/>
          </w:tcPr>
          <w:p w:rsidR="0047390F" w:rsidRPr="00681F70" w:rsidRDefault="00EE7244" w:rsidP="00786A76">
            <w:pPr>
              <w:spacing w:after="0" w:line="240" w:lineRule="auto"/>
              <w:jc w:val="right"/>
              <w:rPr>
                <w:rFonts w:ascii="Arial" w:eastAsia="Times New Roman" w:hAnsi="Arial" w:cs="Arial"/>
                <w:b/>
                <w:bCs/>
                <w:color w:val="000000"/>
                <w:sz w:val="16"/>
                <w:szCs w:val="16"/>
                <w:lang w:eastAsia="en-GB"/>
              </w:rPr>
            </w:pPr>
            <w:r w:rsidRPr="00681F70">
              <w:rPr>
                <w:rFonts w:ascii="Arial" w:eastAsia="Times New Roman" w:hAnsi="Arial" w:cs="Arial"/>
                <w:b/>
                <w:bCs/>
                <w:color w:val="000000"/>
                <w:sz w:val="16"/>
                <w:szCs w:val="16"/>
                <w:lang w:eastAsia="en-GB"/>
              </w:rPr>
              <w:t>4,332</w:t>
            </w:r>
          </w:p>
        </w:tc>
        <w:tc>
          <w:tcPr>
            <w:tcW w:w="462" w:type="pct"/>
            <w:tcBorders>
              <w:top w:val="nil"/>
              <w:left w:val="nil"/>
              <w:bottom w:val="nil"/>
              <w:right w:val="single" w:sz="8" w:space="0" w:color="auto"/>
            </w:tcBorders>
            <w:vAlign w:val="center"/>
            <w:hideMark/>
          </w:tcPr>
          <w:p w:rsidR="0047390F" w:rsidRPr="00681F70" w:rsidRDefault="00EE7244" w:rsidP="00786A76">
            <w:pPr>
              <w:spacing w:after="0" w:line="240" w:lineRule="auto"/>
              <w:jc w:val="right"/>
              <w:rPr>
                <w:rFonts w:ascii="Arial" w:eastAsia="Times New Roman" w:hAnsi="Arial" w:cs="Arial"/>
                <w:b/>
                <w:bCs/>
                <w:color w:val="000000"/>
                <w:sz w:val="16"/>
                <w:szCs w:val="16"/>
                <w:lang w:eastAsia="en-GB"/>
              </w:rPr>
            </w:pPr>
            <w:r w:rsidRPr="00681F70">
              <w:rPr>
                <w:rFonts w:ascii="Arial" w:eastAsia="Times New Roman" w:hAnsi="Arial" w:cs="Arial"/>
                <w:b/>
                <w:bCs/>
                <w:color w:val="000000"/>
                <w:sz w:val="16"/>
                <w:szCs w:val="16"/>
                <w:lang w:eastAsia="en-GB"/>
              </w:rPr>
              <w:t>4,118</w:t>
            </w:r>
          </w:p>
        </w:tc>
        <w:tc>
          <w:tcPr>
            <w:tcW w:w="462" w:type="pct"/>
            <w:tcBorders>
              <w:top w:val="nil"/>
              <w:left w:val="nil"/>
              <w:bottom w:val="nil"/>
              <w:right w:val="single" w:sz="8" w:space="0" w:color="auto"/>
            </w:tcBorders>
            <w:vAlign w:val="center"/>
            <w:hideMark/>
          </w:tcPr>
          <w:p w:rsidR="0047390F" w:rsidRPr="00681F70" w:rsidRDefault="00EE7244" w:rsidP="00786A76">
            <w:pPr>
              <w:spacing w:after="0" w:line="240" w:lineRule="auto"/>
              <w:jc w:val="right"/>
              <w:rPr>
                <w:rFonts w:ascii="Arial" w:eastAsia="Times New Roman" w:hAnsi="Arial" w:cs="Arial"/>
                <w:b/>
                <w:bCs/>
                <w:color w:val="000000"/>
                <w:sz w:val="16"/>
                <w:szCs w:val="16"/>
                <w:lang w:eastAsia="en-GB"/>
              </w:rPr>
            </w:pPr>
            <w:r w:rsidRPr="00681F70">
              <w:rPr>
                <w:rFonts w:ascii="Arial" w:eastAsia="Times New Roman" w:hAnsi="Arial" w:cs="Arial"/>
                <w:b/>
                <w:bCs/>
                <w:color w:val="000000"/>
                <w:sz w:val="16"/>
                <w:szCs w:val="16"/>
                <w:lang w:eastAsia="en-GB"/>
              </w:rPr>
              <w:t>4,151</w:t>
            </w:r>
          </w:p>
        </w:tc>
        <w:tc>
          <w:tcPr>
            <w:tcW w:w="438" w:type="pct"/>
            <w:tcBorders>
              <w:top w:val="nil"/>
              <w:left w:val="nil"/>
              <w:bottom w:val="nil"/>
              <w:right w:val="single" w:sz="8" w:space="0" w:color="auto"/>
            </w:tcBorders>
            <w:shd w:val="clear" w:color="auto" w:fill="F2F2F2"/>
            <w:vAlign w:val="center"/>
            <w:hideMark/>
          </w:tcPr>
          <w:p w:rsidR="0047390F" w:rsidRPr="00681F70" w:rsidRDefault="00EE7244" w:rsidP="00786A76">
            <w:pPr>
              <w:spacing w:after="0" w:line="240" w:lineRule="auto"/>
              <w:jc w:val="right"/>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4255</w:t>
            </w:r>
          </w:p>
        </w:tc>
        <w:tc>
          <w:tcPr>
            <w:tcW w:w="410" w:type="pct"/>
            <w:tcBorders>
              <w:top w:val="nil"/>
              <w:left w:val="nil"/>
              <w:bottom w:val="nil"/>
              <w:right w:val="single" w:sz="8" w:space="0" w:color="auto"/>
            </w:tcBorders>
            <w:vAlign w:val="center"/>
            <w:hideMark/>
          </w:tcPr>
          <w:p w:rsidR="0047390F" w:rsidRPr="00681F70" w:rsidRDefault="00EE7244" w:rsidP="00786A76">
            <w:pPr>
              <w:spacing w:after="0" w:line="240" w:lineRule="auto"/>
              <w:jc w:val="right"/>
              <w:rPr>
                <w:rFonts w:ascii="Arial" w:eastAsia="Times New Roman" w:hAnsi="Arial" w:cs="Arial"/>
                <w:b/>
                <w:bCs/>
                <w:color w:val="000000"/>
                <w:sz w:val="16"/>
                <w:szCs w:val="16"/>
                <w:lang w:eastAsia="en-GB"/>
              </w:rPr>
            </w:pPr>
            <w:r w:rsidRPr="00681F70">
              <w:rPr>
                <w:rFonts w:ascii="Arial" w:eastAsia="Times New Roman" w:hAnsi="Arial" w:cs="Arial"/>
                <w:b/>
                <w:bCs/>
                <w:color w:val="000000"/>
                <w:sz w:val="16"/>
                <w:szCs w:val="16"/>
                <w:lang w:eastAsia="en-GB"/>
              </w:rPr>
              <w:t>4,072</w:t>
            </w:r>
          </w:p>
        </w:tc>
        <w:tc>
          <w:tcPr>
            <w:tcW w:w="462" w:type="pct"/>
            <w:tcBorders>
              <w:top w:val="nil"/>
              <w:left w:val="nil"/>
              <w:bottom w:val="nil"/>
              <w:right w:val="single" w:sz="8" w:space="0" w:color="auto"/>
            </w:tcBorders>
            <w:shd w:val="clear" w:color="auto" w:fill="F2F2F2"/>
            <w:vAlign w:val="center"/>
            <w:hideMark/>
          </w:tcPr>
          <w:p w:rsidR="0047390F" w:rsidRPr="00681F70" w:rsidRDefault="00EE7244" w:rsidP="00786A76">
            <w:pPr>
              <w:spacing w:after="0" w:line="240" w:lineRule="auto"/>
              <w:jc w:val="right"/>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4174</w:t>
            </w:r>
          </w:p>
        </w:tc>
        <w:tc>
          <w:tcPr>
            <w:tcW w:w="0" w:type="auto"/>
            <w:vMerge/>
            <w:tcBorders>
              <w:top w:val="single" w:sz="4" w:space="0" w:color="auto"/>
              <w:left w:val="single" w:sz="8" w:space="0" w:color="auto"/>
              <w:bottom w:val="single" w:sz="8" w:space="0" w:color="000000"/>
              <w:right w:val="single" w:sz="8" w:space="0" w:color="auto"/>
            </w:tcBorders>
            <w:vAlign w:val="center"/>
            <w:hideMark/>
          </w:tcPr>
          <w:p w:rsidR="0047390F" w:rsidRPr="00681F70" w:rsidRDefault="0047390F" w:rsidP="00786A76">
            <w:pPr>
              <w:spacing w:after="0" w:line="240" w:lineRule="auto"/>
              <w:rPr>
                <w:rFonts w:ascii="Arial" w:eastAsia="Times New Roman" w:hAnsi="Arial" w:cs="Arial"/>
                <w:color w:val="000000"/>
                <w:sz w:val="16"/>
                <w:szCs w:val="16"/>
                <w:lang w:eastAsia="en-GB"/>
              </w:rPr>
            </w:pPr>
          </w:p>
        </w:tc>
      </w:tr>
      <w:tr w:rsidR="00C07FE1" w:rsidTr="0047390F">
        <w:trPr>
          <w:trHeight w:val="315"/>
        </w:trPr>
        <w:tc>
          <w:tcPr>
            <w:tcW w:w="1304" w:type="pct"/>
            <w:tcBorders>
              <w:top w:val="nil"/>
              <w:left w:val="single" w:sz="8" w:space="0" w:color="auto"/>
              <w:bottom w:val="single" w:sz="8" w:space="0" w:color="auto"/>
              <w:right w:val="single" w:sz="4" w:space="0" w:color="auto"/>
            </w:tcBorders>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Source: DLHE Data</w:t>
            </w:r>
          </w:p>
        </w:tc>
        <w:tc>
          <w:tcPr>
            <w:tcW w:w="539" w:type="pct"/>
            <w:tcBorders>
              <w:top w:val="nil"/>
              <w:left w:val="single" w:sz="4" w:space="0" w:color="auto"/>
              <w:bottom w:val="single" w:sz="4" w:space="0" w:color="auto"/>
              <w:right w:val="single" w:sz="4" w:space="0" w:color="auto"/>
            </w:tcBorders>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 </w:t>
            </w:r>
          </w:p>
        </w:tc>
        <w:tc>
          <w:tcPr>
            <w:tcW w:w="462" w:type="pct"/>
            <w:tcBorders>
              <w:top w:val="nil"/>
              <w:left w:val="single" w:sz="4" w:space="0" w:color="auto"/>
              <w:bottom w:val="single" w:sz="8" w:space="0" w:color="auto"/>
              <w:right w:val="single" w:sz="8" w:space="0" w:color="auto"/>
            </w:tcBorders>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 </w:t>
            </w:r>
          </w:p>
        </w:tc>
        <w:tc>
          <w:tcPr>
            <w:tcW w:w="462" w:type="pct"/>
            <w:tcBorders>
              <w:top w:val="nil"/>
              <w:left w:val="nil"/>
              <w:bottom w:val="single" w:sz="8" w:space="0" w:color="auto"/>
              <w:right w:val="single" w:sz="8" w:space="0" w:color="auto"/>
            </w:tcBorders>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 </w:t>
            </w:r>
          </w:p>
        </w:tc>
        <w:tc>
          <w:tcPr>
            <w:tcW w:w="462" w:type="pct"/>
            <w:tcBorders>
              <w:top w:val="nil"/>
              <w:left w:val="nil"/>
              <w:bottom w:val="single" w:sz="8" w:space="0" w:color="auto"/>
              <w:right w:val="single" w:sz="8" w:space="0" w:color="auto"/>
            </w:tcBorders>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 </w:t>
            </w:r>
          </w:p>
        </w:tc>
        <w:tc>
          <w:tcPr>
            <w:tcW w:w="438" w:type="pct"/>
            <w:tcBorders>
              <w:top w:val="nil"/>
              <w:left w:val="nil"/>
              <w:bottom w:val="single" w:sz="8" w:space="0" w:color="auto"/>
              <w:right w:val="single" w:sz="8" w:space="0" w:color="auto"/>
            </w:tcBorders>
            <w:shd w:val="clear" w:color="auto" w:fill="F2F2F2"/>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 </w:t>
            </w:r>
          </w:p>
        </w:tc>
        <w:tc>
          <w:tcPr>
            <w:tcW w:w="410" w:type="pct"/>
            <w:tcBorders>
              <w:top w:val="nil"/>
              <w:left w:val="nil"/>
              <w:bottom w:val="single" w:sz="8" w:space="0" w:color="auto"/>
              <w:right w:val="single" w:sz="8" w:space="0" w:color="auto"/>
            </w:tcBorders>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 </w:t>
            </w:r>
          </w:p>
        </w:tc>
        <w:tc>
          <w:tcPr>
            <w:tcW w:w="462" w:type="pct"/>
            <w:tcBorders>
              <w:top w:val="nil"/>
              <w:left w:val="nil"/>
              <w:bottom w:val="single" w:sz="8" w:space="0" w:color="auto"/>
              <w:right w:val="single" w:sz="8" w:space="0" w:color="auto"/>
            </w:tcBorders>
            <w:shd w:val="clear" w:color="auto" w:fill="F2F2F2"/>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 </w:t>
            </w:r>
          </w:p>
        </w:tc>
        <w:tc>
          <w:tcPr>
            <w:tcW w:w="0" w:type="auto"/>
            <w:vMerge/>
            <w:tcBorders>
              <w:top w:val="single" w:sz="4" w:space="0" w:color="auto"/>
              <w:left w:val="single" w:sz="8" w:space="0" w:color="auto"/>
              <w:bottom w:val="single" w:sz="8" w:space="0" w:color="000000"/>
              <w:right w:val="single" w:sz="8" w:space="0" w:color="auto"/>
            </w:tcBorders>
            <w:vAlign w:val="center"/>
            <w:hideMark/>
          </w:tcPr>
          <w:p w:rsidR="0047390F" w:rsidRPr="00681F70" w:rsidRDefault="0047390F" w:rsidP="00786A76">
            <w:pPr>
              <w:spacing w:after="0" w:line="240" w:lineRule="auto"/>
              <w:rPr>
                <w:rFonts w:ascii="Arial" w:eastAsia="Times New Roman" w:hAnsi="Arial" w:cs="Arial"/>
                <w:color w:val="000000"/>
                <w:sz w:val="16"/>
                <w:szCs w:val="16"/>
                <w:lang w:eastAsia="en-GB"/>
              </w:rPr>
            </w:pPr>
          </w:p>
        </w:tc>
      </w:tr>
      <w:tr w:rsidR="00C07FE1" w:rsidTr="0047390F">
        <w:trPr>
          <w:trHeight w:val="450"/>
        </w:trPr>
        <w:tc>
          <w:tcPr>
            <w:tcW w:w="1304" w:type="pct"/>
            <w:tcBorders>
              <w:top w:val="nil"/>
              <w:left w:val="single" w:sz="8" w:space="0" w:color="auto"/>
              <w:bottom w:val="nil"/>
              <w:right w:val="single" w:sz="4" w:space="0" w:color="auto"/>
            </w:tcBorders>
            <w:vAlign w:val="center"/>
            <w:hideMark/>
          </w:tcPr>
          <w:p w:rsidR="0047390F" w:rsidRPr="00681F70" w:rsidRDefault="00EE7244" w:rsidP="00786A76">
            <w:pPr>
              <w:spacing w:after="0" w:line="240" w:lineRule="auto"/>
              <w:rPr>
                <w:rFonts w:ascii="Arial" w:eastAsia="Times New Roman" w:hAnsi="Arial" w:cs="Arial"/>
                <w:b/>
                <w:bCs/>
                <w:color w:val="000000"/>
                <w:sz w:val="16"/>
                <w:szCs w:val="16"/>
                <w:lang w:eastAsia="en-GB"/>
              </w:rPr>
            </w:pPr>
            <w:r w:rsidRPr="00681F70">
              <w:rPr>
                <w:rFonts w:ascii="Arial" w:eastAsia="Times New Roman" w:hAnsi="Arial" w:cs="Arial"/>
                <w:b/>
                <w:bCs/>
                <w:color w:val="000000"/>
                <w:sz w:val="16"/>
                <w:szCs w:val="16"/>
                <w:lang w:eastAsia="en-GB"/>
              </w:rPr>
              <w:t>5. Graduate placements and internships across all sectors</w:t>
            </w:r>
          </w:p>
        </w:tc>
        <w:tc>
          <w:tcPr>
            <w:tcW w:w="539" w:type="pct"/>
            <w:tcBorders>
              <w:top w:val="single" w:sz="4" w:space="0" w:color="auto"/>
              <w:left w:val="single" w:sz="4" w:space="0" w:color="auto"/>
              <w:bottom w:val="nil"/>
              <w:right w:val="single" w:sz="4" w:space="0" w:color="auto"/>
            </w:tcBorders>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 </w:t>
            </w:r>
          </w:p>
        </w:tc>
        <w:tc>
          <w:tcPr>
            <w:tcW w:w="462" w:type="pct"/>
            <w:tcBorders>
              <w:top w:val="nil"/>
              <w:left w:val="single" w:sz="4" w:space="0" w:color="auto"/>
              <w:bottom w:val="nil"/>
              <w:right w:val="single" w:sz="8" w:space="0" w:color="auto"/>
            </w:tcBorders>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 </w:t>
            </w:r>
          </w:p>
        </w:tc>
        <w:tc>
          <w:tcPr>
            <w:tcW w:w="462" w:type="pct"/>
            <w:tcBorders>
              <w:top w:val="nil"/>
              <w:left w:val="nil"/>
              <w:bottom w:val="nil"/>
              <w:right w:val="single" w:sz="8" w:space="0" w:color="auto"/>
            </w:tcBorders>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 </w:t>
            </w:r>
          </w:p>
        </w:tc>
        <w:tc>
          <w:tcPr>
            <w:tcW w:w="462" w:type="pct"/>
            <w:tcBorders>
              <w:top w:val="nil"/>
              <w:left w:val="nil"/>
              <w:bottom w:val="nil"/>
              <w:right w:val="single" w:sz="8" w:space="0" w:color="auto"/>
            </w:tcBorders>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 </w:t>
            </w:r>
          </w:p>
        </w:tc>
        <w:tc>
          <w:tcPr>
            <w:tcW w:w="438" w:type="pct"/>
            <w:tcBorders>
              <w:top w:val="nil"/>
              <w:left w:val="nil"/>
              <w:bottom w:val="nil"/>
              <w:right w:val="single" w:sz="8" w:space="0" w:color="auto"/>
            </w:tcBorders>
            <w:shd w:val="clear" w:color="auto" w:fill="F2F2F2"/>
            <w:vAlign w:val="center"/>
            <w:hideMark/>
          </w:tcPr>
          <w:p w:rsidR="0047390F" w:rsidRPr="00681F70" w:rsidRDefault="00EE7244" w:rsidP="00786A76">
            <w:pPr>
              <w:spacing w:after="0" w:line="240" w:lineRule="auto"/>
              <w:jc w:val="right"/>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2%</w:t>
            </w:r>
          </w:p>
        </w:tc>
        <w:tc>
          <w:tcPr>
            <w:tcW w:w="410" w:type="pct"/>
            <w:tcBorders>
              <w:top w:val="nil"/>
              <w:left w:val="nil"/>
              <w:bottom w:val="nil"/>
              <w:right w:val="single" w:sz="8" w:space="0" w:color="auto"/>
            </w:tcBorders>
            <w:vAlign w:val="center"/>
            <w:hideMark/>
          </w:tcPr>
          <w:p w:rsidR="0047390F" w:rsidRPr="00681F70" w:rsidRDefault="00EE7244" w:rsidP="00786A76">
            <w:pPr>
              <w:spacing w:after="0" w:line="240" w:lineRule="auto"/>
              <w:jc w:val="right"/>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-20%</w:t>
            </w:r>
          </w:p>
        </w:tc>
        <w:tc>
          <w:tcPr>
            <w:tcW w:w="462" w:type="pct"/>
            <w:tcBorders>
              <w:top w:val="nil"/>
              <w:left w:val="nil"/>
              <w:bottom w:val="nil"/>
              <w:right w:val="single" w:sz="8" w:space="0" w:color="auto"/>
            </w:tcBorders>
            <w:shd w:val="clear" w:color="auto" w:fill="F2F2F2"/>
            <w:vAlign w:val="center"/>
            <w:hideMark/>
          </w:tcPr>
          <w:p w:rsidR="0047390F" w:rsidRPr="00681F70" w:rsidRDefault="00EE7244" w:rsidP="00786A76">
            <w:pPr>
              <w:spacing w:after="0" w:line="240" w:lineRule="auto"/>
              <w:jc w:val="right"/>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2%</w:t>
            </w:r>
          </w:p>
        </w:tc>
        <w:tc>
          <w:tcPr>
            <w:tcW w:w="461" w:type="pct"/>
            <w:vMerge w:val="restart"/>
            <w:tcBorders>
              <w:top w:val="nil"/>
              <w:left w:val="single" w:sz="8" w:space="0" w:color="auto"/>
              <w:bottom w:val="single" w:sz="8" w:space="0" w:color="000000"/>
              <w:right w:val="single" w:sz="8" w:space="0" w:color="auto"/>
            </w:tcBorders>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2016/17 is the latest data available</w:t>
            </w:r>
          </w:p>
        </w:tc>
      </w:tr>
      <w:tr w:rsidR="00C07FE1" w:rsidTr="0047390F">
        <w:trPr>
          <w:trHeight w:val="300"/>
        </w:trPr>
        <w:tc>
          <w:tcPr>
            <w:tcW w:w="1304" w:type="pct"/>
            <w:tcBorders>
              <w:top w:val="nil"/>
              <w:left w:val="single" w:sz="8" w:space="0" w:color="auto"/>
              <w:bottom w:val="nil"/>
              <w:right w:val="single" w:sz="4" w:space="0" w:color="auto"/>
            </w:tcBorders>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Additional numbers beyond the 2012/2013 baseline</w:t>
            </w:r>
          </w:p>
        </w:tc>
        <w:tc>
          <w:tcPr>
            <w:tcW w:w="539" w:type="pct"/>
            <w:tcBorders>
              <w:top w:val="nil"/>
              <w:left w:val="single" w:sz="4" w:space="0" w:color="auto"/>
              <w:bottom w:val="nil"/>
              <w:right w:val="single" w:sz="4" w:space="0" w:color="auto"/>
            </w:tcBorders>
            <w:vAlign w:val="center"/>
            <w:hideMark/>
          </w:tcPr>
          <w:p w:rsidR="0047390F" w:rsidRPr="00681F70" w:rsidRDefault="00EE7244" w:rsidP="00786A76">
            <w:pPr>
              <w:spacing w:after="0" w:line="240" w:lineRule="auto"/>
              <w:jc w:val="right"/>
              <w:rPr>
                <w:rFonts w:ascii="Arial" w:eastAsia="Times New Roman" w:hAnsi="Arial" w:cs="Arial"/>
                <w:b/>
                <w:bCs/>
                <w:color w:val="000000"/>
                <w:sz w:val="16"/>
                <w:szCs w:val="16"/>
                <w:lang w:eastAsia="en-GB"/>
              </w:rPr>
            </w:pPr>
            <w:r w:rsidRPr="00681F70">
              <w:rPr>
                <w:rFonts w:ascii="Arial" w:eastAsia="Times New Roman" w:hAnsi="Arial" w:cs="Arial"/>
                <w:b/>
                <w:bCs/>
                <w:color w:val="000000"/>
                <w:sz w:val="16"/>
                <w:szCs w:val="16"/>
                <w:lang w:eastAsia="en-GB"/>
              </w:rPr>
              <w:t>323</w:t>
            </w:r>
          </w:p>
        </w:tc>
        <w:tc>
          <w:tcPr>
            <w:tcW w:w="462" w:type="pct"/>
            <w:tcBorders>
              <w:top w:val="nil"/>
              <w:left w:val="single" w:sz="4" w:space="0" w:color="auto"/>
              <w:bottom w:val="nil"/>
              <w:right w:val="single" w:sz="8" w:space="0" w:color="auto"/>
            </w:tcBorders>
            <w:vAlign w:val="center"/>
            <w:hideMark/>
          </w:tcPr>
          <w:p w:rsidR="0047390F" w:rsidRPr="00681F70" w:rsidRDefault="00EE7244" w:rsidP="00786A76">
            <w:pPr>
              <w:spacing w:after="0" w:line="240" w:lineRule="auto"/>
              <w:jc w:val="right"/>
              <w:rPr>
                <w:rFonts w:ascii="Arial" w:eastAsia="Times New Roman" w:hAnsi="Arial" w:cs="Arial"/>
                <w:b/>
                <w:bCs/>
                <w:color w:val="000000"/>
                <w:sz w:val="16"/>
                <w:szCs w:val="16"/>
                <w:lang w:eastAsia="en-GB"/>
              </w:rPr>
            </w:pPr>
            <w:r w:rsidRPr="00681F70">
              <w:rPr>
                <w:rFonts w:ascii="Arial" w:eastAsia="Times New Roman" w:hAnsi="Arial" w:cs="Arial"/>
                <w:b/>
                <w:bCs/>
                <w:color w:val="000000"/>
                <w:sz w:val="16"/>
                <w:szCs w:val="16"/>
                <w:lang w:eastAsia="en-GB"/>
              </w:rPr>
              <w:t>476</w:t>
            </w:r>
          </w:p>
        </w:tc>
        <w:tc>
          <w:tcPr>
            <w:tcW w:w="462" w:type="pct"/>
            <w:tcBorders>
              <w:top w:val="nil"/>
              <w:left w:val="nil"/>
              <w:bottom w:val="nil"/>
              <w:right w:val="single" w:sz="8" w:space="0" w:color="auto"/>
            </w:tcBorders>
            <w:vAlign w:val="center"/>
            <w:hideMark/>
          </w:tcPr>
          <w:p w:rsidR="0047390F" w:rsidRPr="00681F70" w:rsidRDefault="00EE7244" w:rsidP="00786A76">
            <w:pPr>
              <w:spacing w:after="0" w:line="240" w:lineRule="auto"/>
              <w:jc w:val="right"/>
              <w:rPr>
                <w:rFonts w:ascii="Arial" w:eastAsia="Times New Roman" w:hAnsi="Arial" w:cs="Arial"/>
                <w:b/>
                <w:bCs/>
                <w:color w:val="000000"/>
                <w:sz w:val="16"/>
                <w:szCs w:val="16"/>
                <w:lang w:eastAsia="en-GB"/>
              </w:rPr>
            </w:pPr>
            <w:r w:rsidRPr="00681F70">
              <w:rPr>
                <w:rFonts w:ascii="Arial" w:eastAsia="Times New Roman" w:hAnsi="Arial" w:cs="Arial"/>
                <w:b/>
                <w:bCs/>
                <w:color w:val="000000"/>
                <w:sz w:val="16"/>
                <w:szCs w:val="16"/>
                <w:lang w:eastAsia="en-GB"/>
              </w:rPr>
              <w:t>566</w:t>
            </w:r>
          </w:p>
        </w:tc>
        <w:tc>
          <w:tcPr>
            <w:tcW w:w="462" w:type="pct"/>
            <w:tcBorders>
              <w:top w:val="nil"/>
              <w:left w:val="nil"/>
              <w:bottom w:val="nil"/>
              <w:right w:val="single" w:sz="8" w:space="0" w:color="auto"/>
            </w:tcBorders>
            <w:vAlign w:val="center"/>
            <w:hideMark/>
          </w:tcPr>
          <w:p w:rsidR="0047390F" w:rsidRPr="00681F70" w:rsidRDefault="00EE7244" w:rsidP="00786A76">
            <w:pPr>
              <w:spacing w:after="0" w:line="240" w:lineRule="auto"/>
              <w:jc w:val="right"/>
              <w:rPr>
                <w:rFonts w:ascii="Arial" w:eastAsia="Times New Roman" w:hAnsi="Arial" w:cs="Arial"/>
                <w:b/>
                <w:bCs/>
                <w:color w:val="000000"/>
                <w:sz w:val="16"/>
                <w:szCs w:val="16"/>
                <w:lang w:eastAsia="en-GB"/>
              </w:rPr>
            </w:pPr>
            <w:r w:rsidRPr="00681F70">
              <w:rPr>
                <w:rFonts w:ascii="Arial" w:eastAsia="Times New Roman" w:hAnsi="Arial" w:cs="Arial"/>
                <w:b/>
                <w:bCs/>
                <w:color w:val="000000"/>
                <w:sz w:val="16"/>
                <w:szCs w:val="16"/>
                <w:lang w:eastAsia="en-GB"/>
              </w:rPr>
              <w:t>537</w:t>
            </w:r>
          </w:p>
        </w:tc>
        <w:tc>
          <w:tcPr>
            <w:tcW w:w="438" w:type="pct"/>
            <w:tcBorders>
              <w:top w:val="nil"/>
              <w:left w:val="nil"/>
              <w:bottom w:val="nil"/>
              <w:right w:val="single" w:sz="8" w:space="0" w:color="auto"/>
            </w:tcBorders>
            <w:shd w:val="clear" w:color="auto" w:fill="F2F2F2"/>
            <w:vAlign w:val="center"/>
            <w:hideMark/>
          </w:tcPr>
          <w:p w:rsidR="0047390F" w:rsidRPr="00681F70" w:rsidRDefault="00EE7244" w:rsidP="00786A76">
            <w:pPr>
              <w:spacing w:after="0" w:line="240" w:lineRule="auto"/>
              <w:jc w:val="right"/>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548</w:t>
            </w:r>
          </w:p>
        </w:tc>
        <w:tc>
          <w:tcPr>
            <w:tcW w:w="410" w:type="pct"/>
            <w:tcBorders>
              <w:top w:val="nil"/>
              <w:left w:val="nil"/>
              <w:bottom w:val="nil"/>
              <w:right w:val="single" w:sz="8" w:space="0" w:color="auto"/>
            </w:tcBorders>
            <w:vAlign w:val="center"/>
            <w:hideMark/>
          </w:tcPr>
          <w:p w:rsidR="0047390F" w:rsidRPr="00681F70" w:rsidRDefault="00EE7244" w:rsidP="00786A76">
            <w:pPr>
              <w:spacing w:after="0" w:line="240" w:lineRule="auto"/>
              <w:jc w:val="right"/>
              <w:rPr>
                <w:rFonts w:ascii="Arial" w:eastAsia="Times New Roman" w:hAnsi="Arial" w:cs="Arial"/>
                <w:b/>
                <w:bCs/>
                <w:color w:val="000000"/>
                <w:sz w:val="16"/>
                <w:szCs w:val="16"/>
                <w:lang w:eastAsia="en-GB"/>
              </w:rPr>
            </w:pPr>
            <w:r w:rsidRPr="00681F70">
              <w:rPr>
                <w:rFonts w:ascii="Arial" w:eastAsia="Times New Roman" w:hAnsi="Arial" w:cs="Arial"/>
                <w:b/>
                <w:bCs/>
                <w:color w:val="000000"/>
                <w:sz w:val="16"/>
                <w:szCs w:val="16"/>
                <w:lang w:eastAsia="en-GB"/>
              </w:rPr>
              <w:t>432</w:t>
            </w:r>
          </w:p>
        </w:tc>
        <w:tc>
          <w:tcPr>
            <w:tcW w:w="462" w:type="pct"/>
            <w:tcBorders>
              <w:top w:val="nil"/>
              <w:left w:val="nil"/>
              <w:bottom w:val="nil"/>
              <w:right w:val="single" w:sz="8" w:space="0" w:color="auto"/>
            </w:tcBorders>
            <w:shd w:val="clear" w:color="auto" w:fill="F2F2F2"/>
            <w:vAlign w:val="center"/>
            <w:hideMark/>
          </w:tcPr>
          <w:p w:rsidR="0047390F" w:rsidRPr="00681F70" w:rsidRDefault="00EE7244" w:rsidP="00786A76">
            <w:pPr>
              <w:spacing w:after="0" w:line="240" w:lineRule="auto"/>
              <w:jc w:val="right"/>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441</w:t>
            </w:r>
          </w:p>
        </w:tc>
        <w:tc>
          <w:tcPr>
            <w:tcW w:w="0" w:type="auto"/>
            <w:vMerge/>
            <w:tcBorders>
              <w:top w:val="nil"/>
              <w:left w:val="single" w:sz="8" w:space="0" w:color="auto"/>
              <w:bottom w:val="single" w:sz="8" w:space="0" w:color="000000"/>
              <w:right w:val="single" w:sz="8" w:space="0" w:color="auto"/>
            </w:tcBorders>
            <w:vAlign w:val="center"/>
            <w:hideMark/>
          </w:tcPr>
          <w:p w:rsidR="0047390F" w:rsidRPr="00681F70" w:rsidRDefault="0047390F" w:rsidP="00786A76">
            <w:pPr>
              <w:spacing w:after="0" w:line="240" w:lineRule="auto"/>
              <w:rPr>
                <w:rFonts w:ascii="Arial" w:eastAsia="Times New Roman" w:hAnsi="Arial" w:cs="Arial"/>
                <w:color w:val="000000"/>
                <w:sz w:val="16"/>
                <w:szCs w:val="16"/>
                <w:lang w:eastAsia="en-GB"/>
              </w:rPr>
            </w:pPr>
          </w:p>
        </w:tc>
      </w:tr>
      <w:tr w:rsidR="00C07FE1" w:rsidTr="0047390F">
        <w:trPr>
          <w:trHeight w:val="315"/>
        </w:trPr>
        <w:tc>
          <w:tcPr>
            <w:tcW w:w="1304" w:type="pct"/>
            <w:tcBorders>
              <w:top w:val="nil"/>
              <w:left w:val="single" w:sz="8" w:space="0" w:color="auto"/>
              <w:bottom w:val="single" w:sz="8" w:space="0" w:color="auto"/>
              <w:right w:val="single" w:sz="4" w:space="0" w:color="auto"/>
            </w:tcBorders>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Source: UCLAN</w:t>
            </w:r>
          </w:p>
        </w:tc>
        <w:tc>
          <w:tcPr>
            <w:tcW w:w="539" w:type="pct"/>
            <w:tcBorders>
              <w:top w:val="nil"/>
              <w:left w:val="single" w:sz="4" w:space="0" w:color="auto"/>
              <w:bottom w:val="single" w:sz="4" w:space="0" w:color="auto"/>
              <w:right w:val="single" w:sz="4" w:space="0" w:color="auto"/>
            </w:tcBorders>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 </w:t>
            </w:r>
          </w:p>
        </w:tc>
        <w:tc>
          <w:tcPr>
            <w:tcW w:w="462" w:type="pct"/>
            <w:tcBorders>
              <w:top w:val="nil"/>
              <w:left w:val="single" w:sz="4" w:space="0" w:color="auto"/>
              <w:bottom w:val="single" w:sz="8" w:space="0" w:color="auto"/>
              <w:right w:val="single" w:sz="8" w:space="0" w:color="auto"/>
            </w:tcBorders>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 </w:t>
            </w:r>
          </w:p>
        </w:tc>
        <w:tc>
          <w:tcPr>
            <w:tcW w:w="462" w:type="pct"/>
            <w:tcBorders>
              <w:top w:val="nil"/>
              <w:left w:val="nil"/>
              <w:bottom w:val="single" w:sz="8" w:space="0" w:color="auto"/>
              <w:right w:val="single" w:sz="8" w:space="0" w:color="auto"/>
            </w:tcBorders>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 </w:t>
            </w:r>
          </w:p>
        </w:tc>
        <w:tc>
          <w:tcPr>
            <w:tcW w:w="462" w:type="pct"/>
            <w:tcBorders>
              <w:top w:val="nil"/>
              <w:left w:val="nil"/>
              <w:bottom w:val="single" w:sz="8" w:space="0" w:color="auto"/>
              <w:right w:val="single" w:sz="8" w:space="0" w:color="auto"/>
            </w:tcBorders>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 </w:t>
            </w:r>
          </w:p>
        </w:tc>
        <w:tc>
          <w:tcPr>
            <w:tcW w:w="438" w:type="pct"/>
            <w:tcBorders>
              <w:top w:val="nil"/>
              <w:left w:val="nil"/>
              <w:bottom w:val="single" w:sz="8" w:space="0" w:color="auto"/>
              <w:right w:val="single" w:sz="8" w:space="0" w:color="auto"/>
            </w:tcBorders>
            <w:shd w:val="clear" w:color="auto" w:fill="F2F2F2"/>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 </w:t>
            </w:r>
          </w:p>
        </w:tc>
        <w:tc>
          <w:tcPr>
            <w:tcW w:w="410" w:type="pct"/>
            <w:tcBorders>
              <w:top w:val="nil"/>
              <w:left w:val="nil"/>
              <w:bottom w:val="single" w:sz="8" w:space="0" w:color="auto"/>
              <w:right w:val="single" w:sz="8" w:space="0" w:color="auto"/>
            </w:tcBorders>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 </w:t>
            </w:r>
          </w:p>
        </w:tc>
        <w:tc>
          <w:tcPr>
            <w:tcW w:w="462" w:type="pct"/>
            <w:tcBorders>
              <w:top w:val="nil"/>
              <w:left w:val="nil"/>
              <w:bottom w:val="single" w:sz="8" w:space="0" w:color="auto"/>
              <w:right w:val="single" w:sz="8" w:space="0" w:color="auto"/>
            </w:tcBorders>
            <w:shd w:val="clear" w:color="auto" w:fill="F2F2F2"/>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rsidR="0047390F" w:rsidRPr="00681F70" w:rsidRDefault="0047390F" w:rsidP="00786A76">
            <w:pPr>
              <w:spacing w:after="0" w:line="240" w:lineRule="auto"/>
              <w:rPr>
                <w:rFonts w:ascii="Arial" w:eastAsia="Times New Roman" w:hAnsi="Arial" w:cs="Arial"/>
                <w:color w:val="000000"/>
                <w:sz w:val="16"/>
                <w:szCs w:val="16"/>
                <w:lang w:eastAsia="en-GB"/>
              </w:rPr>
            </w:pPr>
          </w:p>
        </w:tc>
      </w:tr>
      <w:tr w:rsidR="00C07FE1" w:rsidTr="0047390F">
        <w:trPr>
          <w:trHeight w:val="300"/>
        </w:trPr>
        <w:tc>
          <w:tcPr>
            <w:tcW w:w="1304" w:type="pct"/>
            <w:vMerge w:val="restart"/>
            <w:tcBorders>
              <w:top w:val="nil"/>
              <w:left w:val="single" w:sz="8" w:space="0" w:color="auto"/>
              <w:bottom w:val="nil"/>
              <w:right w:val="single" w:sz="4" w:space="0" w:color="auto"/>
            </w:tcBorders>
            <w:hideMark/>
          </w:tcPr>
          <w:p w:rsidR="0047390F" w:rsidRPr="00681F70" w:rsidRDefault="00EE7244" w:rsidP="00786A76">
            <w:pPr>
              <w:spacing w:after="0" w:line="240" w:lineRule="auto"/>
              <w:rPr>
                <w:rFonts w:ascii="Arial" w:eastAsia="Times New Roman" w:hAnsi="Arial" w:cs="Arial"/>
                <w:b/>
                <w:bCs/>
                <w:color w:val="000000"/>
                <w:sz w:val="16"/>
                <w:szCs w:val="16"/>
                <w:lang w:eastAsia="en-GB"/>
              </w:rPr>
            </w:pPr>
            <w:r w:rsidRPr="00681F70">
              <w:rPr>
                <w:rFonts w:ascii="Arial" w:eastAsia="Times New Roman" w:hAnsi="Arial" w:cs="Arial"/>
                <w:b/>
                <w:bCs/>
                <w:color w:val="000000"/>
                <w:sz w:val="16"/>
                <w:szCs w:val="16"/>
                <w:lang w:eastAsia="en-GB"/>
              </w:rPr>
              <w:t>6. New students choosing STEM and construction undergraduate degree subjects at UCLan</w:t>
            </w:r>
          </w:p>
        </w:tc>
        <w:tc>
          <w:tcPr>
            <w:tcW w:w="539" w:type="pct"/>
            <w:tcBorders>
              <w:top w:val="single" w:sz="4" w:space="0" w:color="auto"/>
              <w:left w:val="single" w:sz="4" w:space="0" w:color="auto"/>
              <w:bottom w:val="nil"/>
              <w:right w:val="single" w:sz="4" w:space="0" w:color="auto"/>
            </w:tcBorders>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 </w:t>
            </w:r>
          </w:p>
        </w:tc>
        <w:tc>
          <w:tcPr>
            <w:tcW w:w="462" w:type="pct"/>
            <w:tcBorders>
              <w:top w:val="nil"/>
              <w:left w:val="single" w:sz="4" w:space="0" w:color="auto"/>
              <w:bottom w:val="nil"/>
              <w:right w:val="single" w:sz="8" w:space="0" w:color="auto"/>
            </w:tcBorders>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 </w:t>
            </w:r>
          </w:p>
        </w:tc>
        <w:tc>
          <w:tcPr>
            <w:tcW w:w="462" w:type="pct"/>
            <w:tcBorders>
              <w:top w:val="nil"/>
              <w:left w:val="nil"/>
              <w:bottom w:val="nil"/>
              <w:right w:val="single" w:sz="8" w:space="0" w:color="auto"/>
            </w:tcBorders>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 </w:t>
            </w:r>
          </w:p>
        </w:tc>
        <w:tc>
          <w:tcPr>
            <w:tcW w:w="462" w:type="pct"/>
            <w:tcBorders>
              <w:top w:val="nil"/>
              <w:left w:val="nil"/>
              <w:bottom w:val="nil"/>
              <w:right w:val="single" w:sz="8" w:space="0" w:color="auto"/>
            </w:tcBorders>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 </w:t>
            </w:r>
          </w:p>
        </w:tc>
        <w:tc>
          <w:tcPr>
            <w:tcW w:w="438" w:type="pct"/>
            <w:tcBorders>
              <w:top w:val="nil"/>
              <w:left w:val="nil"/>
              <w:bottom w:val="nil"/>
              <w:right w:val="single" w:sz="8" w:space="0" w:color="auto"/>
            </w:tcBorders>
            <w:shd w:val="clear" w:color="auto" w:fill="F2F2F2"/>
            <w:vAlign w:val="center"/>
            <w:hideMark/>
          </w:tcPr>
          <w:p w:rsidR="0047390F" w:rsidRPr="00681F70" w:rsidRDefault="00EE7244" w:rsidP="00786A76">
            <w:pPr>
              <w:spacing w:after="0" w:line="240" w:lineRule="auto"/>
              <w:jc w:val="right"/>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2.0%</w:t>
            </w:r>
          </w:p>
        </w:tc>
        <w:tc>
          <w:tcPr>
            <w:tcW w:w="410" w:type="pct"/>
            <w:tcBorders>
              <w:top w:val="nil"/>
              <w:left w:val="nil"/>
              <w:bottom w:val="nil"/>
              <w:right w:val="single" w:sz="8" w:space="0" w:color="auto"/>
            </w:tcBorders>
            <w:vAlign w:val="center"/>
            <w:hideMark/>
          </w:tcPr>
          <w:p w:rsidR="0047390F" w:rsidRPr="00681F70" w:rsidRDefault="00EE7244" w:rsidP="00786A76">
            <w:pPr>
              <w:spacing w:after="0" w:line="240" w:lineRule="auto"/>
              <w:jc w:val="right"/>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45%</w:t>
            </w:r>
          </w:p>
        </w:tc>
        <w:tc>
          <w:tcPr>
            <w:tcW w:w="462" w:type="pct"/>
            <w:tcBorders>
              <w:top w:val="nil"/>
              <w:left w:val="nil"/>
              <w:bottom w:val="nil"/>
              <w:right w:val="single" w:sz="8" w:space="0" w:color="auto"/>
            </w:tcBorders>
            <w:shd w:val="clear" w:color="auto" w:fill="F2F2F2"/>
            <w:vAlign w:val="center"/>
            <w:hideMark/>
          </w:tcPr>
          <w:p w:rsidR="0047390F" w:rsidRPr="00681F70" w:rsidRDefault="00EE7244" w:rsidP="00786A76">
            <w:pPr>
              <w:spacing w:after="0" w:line="240" w:lineRule="auto"/>
              <w:jc w:val="right"/>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2.0%</w:t>
            </w:r>
          </w:p>
        </w:tc>
        <w:tc>
          <w:tcPr>
            <w:tcW w:w="461" w:type="pct"/>
            <w:vMerge w:val="restart"/>
            <w:tcBorders>
              <w:top w:val="nil"/>
              <w:left w:val="single" w:sz="8" w:space="0" w:color="auto"/>
              <w:bottom w:val="nil"/>
              <w:right w:val="single" w:sz="8" w:space="0" w:color="auto"/>
            </w:tcBorders>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2016/17 is the latest data available</w:t>
            </w:r>
          </w:p>
        </w:tc>
      </w:tr>
      <w:tr w:rsidR="00C07FE1" w:rsidTr="0047390F">
        <w:trPr>
          <w:trHeight w:val="300"/>
        </w:trPr>
        <w:tc>
          <w:tcPr>
            <w:tcW w:w="0" w:type="auto"/>
            <w:vMerge/>
            <w:tcBorders>
              <w:top w:val="nil"/>
              <w:left w:val="single" w:sz="8" w:space="0" w:color="auto"/>
              <w:bottom w:val="nil"/>
              <w:right w:val="single" w:sz="4" w:space="0" w:color="auto"/>
            </w:tcBorders>
            <w:vAlign w:val="center"/>
            <w:hideMark/>
          </w:tcPr>
          <w:p w:rsidR="0047390F" w:rsidRPr="00681F70" w:rsidRDefault="0047390F" w:rsidP="00786A76">
            <w:pPr>
              <w:spacing w:after="0" w:line="240" w:lineRule="auto"/>
              <w:rPr>
                <w:rFonts w:ascii="Arial" w:eastAsia="Times New Roman" w:hAnsi="Arial" w:cs="Arial"/>
                <w:b/>
                <w:bCs/>
                <w:color w:val="000000"/>
                <w:sz w:val="16"/>
                <w:szCs w:val="16"/>
                <w:lang w:eastAsia="en-GB"/>
              </w:rPr>
            </w:pPr>
          </w:p>
        </w:tc>
        <w:tc>
          <w:tcPr>
            <w:tcW w:w="539" w:type="pct"/>
            <w:tcBorders>
              <w:top w:val="nil"/>
              <w:left w:val="single" w:sz="4" w:space="0" w:color="auto"/>
              <w:bottom w:val="nil"/>
              <w:right w:val="single" w:sz="4" w:space="0" w:color="auto"/>
            </w:tcBorders>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 </w:t>
            </w:r>
          </w:p>
        </w:tc>
        <w:tc>
          <w:tcPr>
            <w:tcW w:w="462" w:type="pct"/>
            <w:tcBorders>
              <w:top w:val="nil"/>
              <w:left w:val="single" w:sz="4" w:space="0" w:color="auto"/>
              <w:bottom w:val="nil"/>
              <w:right w:val="single" w:sz="8" w:space="0" w:color="auto"/>
            </w:tcBorders>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 </w:t>
            </w:r>
          </w:p>
        </w:tc>
        <w:tc>
          <w:tcPr>
            <w:tcW w:w="462" w:type="pct"/>
            <w:tcBorders>
              <w:top w:val="nil"/>
              <w:left w:val="nil"/>
              <w:bottom w:val="nil"/>
              <w:right w:val="single" w:sz="8" w:space="0" w:color="auto"/>
            </w:tcBorders>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 </w:t>
            </w:r>
          </w:p>
        </w:tc>
        <w:tc>
          <w:tcPr>
            <w:tcW w:w="462" w:type="pct"/>
            <w:tcBorders>
              <w:top w:val="nil"/>
              <w:left w:val="nil"/>
              <w:bottom w:val="nil"/>
              <w:right w:val="single" w:sz="8" w:space="0" w:color="auto"/>
            </w:tcBorders>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 </w:t>
            </w:r>
          </w:p>
        </w:tc>
        <w:tc>
          <w:tcPr>
            <w:tcW w:w="438" w:type="pct"/>
            <w:tcBorders>
              <w:top w:val="nil"/>
              <w:left w:val="nil"/>
              <w:bottom w:val="nil"/>
              <w:right w:val="single" w:sz="8" w:space="0" w:color="auto"/>
            </w:tcBorders>
            <w:shd w:val="clear" w:color="auto" w:fill="F2F2F2"/>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 </w:t>
            </w:r>
          </w:p>
        </w:tc>
        <w:tc>
          <w:tcPr>
            <w:tcW w:w="410" w:type="pct"/>
            <w:tcBorders>
              <w:top w:val="nil"/>
              <w:left w:val="nil"/>
              <w:bottom w:val="nil"/>
              <w:right w:val="single" w:sz="8" w:space="0" w:color="auto"/>
            </w:tcBorders>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 </w:t>
            </w:r>
          </w:p>
        </w:tc>
        <w:tc>
          <w:tcPr>
            <w:tcW w:w="462" w:type="pct"/>
            <w:tcBorders>
              <w:top w:val="nil"/>
              <w:left w:val="nil"/>
              <w:bottom w:val="nil"/>
              <w:right w:val="single" w:sz="8" w:space="0" w:color="auto"/>
            </w:tcBorders>
            <w:shd w:val="clear" w:color="auto" w:fill="F2F2F2"/>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 </w:t>
            </w:r>
          </w:p>
        </w:tc>
        <w:tc>
          <w:tcPr>
            <w:tcW w:w="0" w:type="auto"/>
            <w:vMerge/>
            <w:tcBorders>
              <w:top w:val="nil"/>
              <w:left w:val="single" w:sz="8" w:space="0" w:color="auto"/>
              <w:bottom w:val="nil"/>
              <w:right w:val="single" w:sz="8" w:space="0" w:color="auto"/>
            </w:tcBorders>
            <w:vAlign w:val="center"/>
            <w:hideMark/>
          </w:tcPr>
          <w:p w:rsidR="0047390F" w:rsidRPr="00681F70" w:rsidRDefault="0047390F" w:rsidP="00786A76">
            <w:pPr>
              <w:spacing w:after="0" w:line="240" w:lineRule="auto"/>
              <w:rPr>
                <w:rFonts w:ascii="Arial" w:eastAsia="Times New Roman" w:hAnsi="Arial" w:cs="Arial"/>
                <w:color w:val="000000"/>
                <w:sz w:val="16"/>
                <w:szCs w:val="16"/>
                <w:lang w:eastAsia="en-GB"/>
              </w:rPr>
            </w:pPr>
          </w:p>
        </w:tc>
      </w:tr>
      <w:tr w:rsidR="00C07FE1" w:rsidTr="0047390F">
        <w:trPr>
          <w:trHeight w:val="300"/>
        </w:trPr>
        <w:tc>
          <w:tcPr>
            <w:tcW w:w="1304" w:type="pct"/>
            <w:tcBorders>
              <w:top w:val="nil"/>
              <w:left w:val="single" w:sz="8" w:space="0" w:color="auto"/>
              <w:bottom w:val="nil"/>
              <w:right w:val="single" w:sz="4" w:space="0" w:color="auto"/>
            </w:tcBorders>
            <w:vAlign w:val="center"/>
            <w:hideMark/>
          </w:tcPr>
          <w:p w:rsidR="0047390F" w:rsidRPr="00681F70" w:rsidRDefault="00EE7244" w:rsidP="00786A76">
            <w:pPr>
              <w:spacing w:after="0" w:line="240" w:lineRule="auto"/>
              <w:rPr>
                <w:rFonts w:ascii="Arial" w:eastAsia="Times New Roman" w:hAnsi="Arial" w:cs="Arial"/>
                <w:b/>
                <w:bCs/>
                <w:color w:val="000000"/>
                <w:sz w:val="16"/>
                <w:szCs w:val="16"/>
                <w:lang w:eastAsia="en-GB"/>
              </w:rPr>
            </w:pPr>
            <w:r w:rsidRPr="00681F70">
              <w:rPr>
                <w:rFonts w:ascii="Arial" w:eastAsia="Times New Roman" w:hAnsi="Arial" w:cs="Arial"/>
                <w:b/>
                <w:bCs/>
                <w:color w:val="000000"/>
                <w:sz w:val="16"/>
                <w:szCs w:val="16"/>
                <w:lang w:eastAsia="en-GB"/>
              </w:rPr>
              <w:t> </w:t>
            </w:r>
          </w:p>
        </w:tc>
        <w:tc>
          <w:tcPr>
            <w:tcW w:w="539" w:type="pct"/>
            <w:tcBorders>
              <w:top w:val="nil"/>
              <w:left w:val="single" w:sz="4" w:space="0" w:color="auto"/>
              <w:bottom w:val="nil"/>
              <w:right w:val="single" w:sz="4" w:space="0" w:color="auto"/>
            </w:tcBorders>
            <w:vAlign w:val="center"/>
            <w:hideMark/>
          </w:tcPr>
          <w:p w:rsidR="0047390F" w:rsidRPr="00681F70" w:rsidRDefault="00EE7244" w:rsidP="00786A76">
            <w:pPr>
              <w:spacing w:after="0" w:line="240" w:lineRule="auto"/>
              <w:jc w:val="right"/>
              <w:rPr>
                <w:rFonts w:ascii="Arial" w:eastAsia="Times New Roman" w:hAnsi="Arial" w:cs="Arial"/>
                <w:b/>
                <w:bCs/>
                <w:color w:val="000000"/>
                <w:sz w:val="16"/>
                <w:szCs w:val="16"/>
                <w:lang w:eastAsia="en-GB"/>
              </w:rPr>
            </w:pPr>
            <w:r w:rsidRPr="00681F70">
              <w:rPr>
                <w:rFonts w:ascii="Arial" w:eastAsia="Times New Roman" w:hAnsi="Arial" w:cs="Arial"/>
                <w:b/>
                <w:bCs/>
                <w:color w:val="000000"/>
                <w:sz w:val="16"/>
                <w:szCs w:val="16"/>
                <w:lang w:eastAsia="en-GB"/>
              </w:rPr>
              <w:t>1,359</w:t>
            </w:r>
          </w:p>
        </w:tc>
        <w:tc>
          <w:tcPr>
            <w:tcW w:w="462" w:type="pct"/>
            <w:tcBorders>
              <w:top w:val="nil"/>
              <w:left w:val="single" w:sz="4" w:space="0" w:color="auto"/>
              <w:bottom w:val="nil"/>
              <w:right w:val="single" w:sz="8" w:space="0" w:color="auto"/>
            </w:tcBorders>
            <w:vAlign w:val="center"/>
            <w:hideMark/>
          </w:tcPr>
          <w:p w:rsidR="0047390F" w:rsidRPr="00681F70" w:rsidRDefault="00EE7244" w:rsidP="00786A76">
            <w:pPr>
              <w:spacing w:after="0" w:line="240" w:lineRule="auto"/>
              <w:jc w:val="right"/>
              <w:rPr>
                <w:rFonts w:ascii="Arial" w:eastAsia="Times New Roman" w:hAnsi="Arial" w:cs="Arial"/>
                <w:b/>
                <w:bCs/>
                <w:color w:val="000000"/>
                <w:sz w:val="16"/>
                <w:szCs w:val="16"/>
                <w:lang w:eastAsia="en-GB"/>
              </w:rPr>
            </w:pPr>
            <w:r w:rsidRPr="00681F70">
              <w:rPr>
                <w:rFonts w:ascii="Arial" w:eastAsia="Times New Roman" w:hAnsi="Arial" w:cs="Arial"/>
                <w:b/>
                <w:bCs/>
                <w:color w:val="000000"/>
                <w:sz w:val="16"/>
                <w:szCs w:val="16"/>
                <w:lang w:eastAsia="en-GB"/>
              </w:rPr>
              <w:t>1,431</w:t>
            </w:r>
          </w:p>
        </w:tc>
        <w:tc>
          <w:tcPr>
            <w:tcW w:w="462" w:type="pct"/>
            <w:tcBorders>
              <w:top w:val="nil"/>
              <w:left w:val="nil"/>
              <w:bottom w:val="nil"/>
              <w:right w:val="single" w:sz="8" w:space="0" w:color="auto"/>
            </w:tcBorders>
            <w:vAlign w:val="center"/>
            <w:hideMark/>
          </w:tcPr>
          <w:p w:rsidR="0047390F" w:rsidRPr="00681F70" w:rsidRDefault="00EE7244" w:rsidP="00786A76">
            <w:pPr>
              <w:spacing w:after="0" w:line="240" w:lineRule="auto"/>
              <w:jc w:val="right"/>
              <w:rPr>
                <w:rFonts w:ascii="Arial" w:eastAsia="Times New Roman" w:hAnsi="Arial" w:cs="Arial"/>
                <w:b/>
                <w:bCs/>
                <w:color w:val="000000"/>
                <w:sz w:val="16"/>
                <w:szCs w:val="16"/>
                <w:lang w:eastAsia="en-GB"/>
              </w:rPr>
            </w:pPr>
            <w:r w:rsidRPr="00681F70">
              <w:rPr>
                <w:rFonts w:ascii="Arial" w:eastAsia="Times New Roman" w:hAnsi="Arial" w:cs="Arial"/>
                <w:b/>
                <w:bCs/>
                <w:color w:val="000000"/>
                <w:sz w:val="16"/>
                <w:szCs w:val="16"/>
                <w:lang w:eastAsia="en-GB"/>
              </w:rPr>
              <w:t>1,988</w:t>
            </w:r>
          </w:p>
        </w:tc>
        <w:tc>
          <w:tcPr>
            <w:tcW w:w="462" w:type="pct"/>
            <w:tcBorders>
              <w:top w:val="nil"/>
              <w:left w:val="nil"/>
              <w:bottom w:val="nil"/>
              <w:right w:val="single" w:sz="8" w:space="0" w:color="auto"/>
            </w:tcBorders>
            <w:vAlign w:val="center"/>
            <w:hideMark/>
          </w:tcPr>
          <w:p w:rsidR="0047390F" w:rsidRPr="00681F70" w:rsidRDefault="00EE7244" w:rsidP="00786A76">
            <w:pPr>
              <w:spacing w:after="0" w:line="240" w:lineRule="auto"/>
              <w:jc w:val="right"/>
              <w:rPr>
                <w:rFonts w:ascii="Arial" w:eastAsia="Times New Roman" w:hAnsi="Arial" w:cs="Arial"/>
                <w:b/>
                <w:bCs/>
                <w:color w:val="000000"/>
                <w:sz w:val="16"/>
                <w:szCs w:val="16"/>
                <w:lang w:eastAsia="en-GB"/>
              </w:rPr>
            </w:pPr>
            <w:r w:rsidRPr="00681F70">
              <w:rPr>
                <w:rFonts w:ascii="Arial" w:eastAsia="Times New Roman" w:hAnsi="Arial" w:cs="Arial"/>
                <w:b/>
                <w:bCs/>
                <w:color w:val="000000"/>
                <w:sz w:val="16"/>
                <w:szCs w:val="16"/>
                <w:lang w:eastAsia="en-GB"/>
              </w:rPr>
              <w:t>2,146</w:t>
            </w:r>
          </w:p>
        </w:tc>
        <w:tc>
          <w:tcPr>
            <w:tcW w:w="438" w:type="pct"/>
            <w:tcBorders>
              <w:top w:val="nil"/>
              <w:left w:val="nil"/>
              <w:bottom w:val="nil"/>
              <w:right w:val="single" w:sz="8" w:space="0" w:color="auto"/>
            </w:tcBorders>
            <w:shd w:val="clear" w:color="auto" w:fill="F2F2F2"/>
            <w:vAlign w:val="center"/>
            <w:hideMark/>
          </w:tcPr>
          <w:p w:rsidR="0047390F" w:rsidRPr="00681F70" w:rsidRDefault="00EE7244" w:rsidP="00786A76">
            <w:pPr>
              <w:spacing w:after="0" w:line="240" w:lineRule="auto"/>
              <w:jc w:val="right"/>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2,189</w:t>
            </w:r>
          </w:p>
        </w:tc>
        <w:tc>
          <w:tcPr>
            <w:tcW w:w="410" w:type="pct"/>
            <w:tcBorders>
              <w:top w:val="nil"/>
              <w:left w:val="nil"/>
              <w:bottom w:val="nil"/>
              <w:right w:val="single" w:sz="8" w:space="0" w:color="auto"/>
            </w:tcBorders>
            <w:vAlign w:val="center"/>
            <w:hideMark/>
          </w:tcPr>
          <w:p w:rsidR="0047390F" w:rsidRPr="00681F70" w:rsidRDefault="00EE7244" w:rsidP="00786A76">
            <w:pPr>
              <w:spacing w:after="0" w:line="240" w:lineRule="auto"/>
              <w:jc w:val="right"/>
              <w:rPr>
                <w:rFonts w:ascii="Arial" w:eastAsia="Times New Roman" w:hAnsi="Arial" w:cs="Arial"/>
                <w:b/>
                <w:bCs/>
                <w:color w:val="000000"/>
                <w:sz w:val="16"/>
                <w:szCs w:val="16"/>
                <w:lang w:eastAsia="en-GB"/>
              </w:rPr>
            </w:pPr>
            <w:r w:rsidRPr="00681F70">
              <w:rPr>
                <w:rFonts w:ascii="Arial" w:eastAsia="Times New Roman" w:hAnsi="Arial" w:cs="Arial"/>
                <w:b/>
                <w:bCs/>
                <w:color w:val="000000"/>
                <w:sz w:val="16"/>
                <w:szCs w:val="16"/>
                <w:lang w:eastAsia="en-GB"/>
              </w:rPr>
              <w:t>3,120</w:t>
            </w:r>
          </w:p>
        </w:tc>
        <w:tc>
          <w:tcPr>
            <w:tcW w:w="462" w:type="pct"/>
            <w:tcBorders>
              <w:top w:val="nil"/>
              <w:left w:val="nil"/>
              <w:bottom w:val="nil"/>
              <w:right w:val="single" w:sz="8" w:space="0" w:color="auto"/>
            </w:tcBorders>
            <w:shd w:val="clear" w:color="auto" w:fill="F2F2F2"/>
            <w:vAlign w:val="center"/>
            <w:hideMark/>
          </w:tcPr>
          <w:p w:rsidR="0047390F" w:rsidRPr="00681F70" w:rsidRDefault="00EE7244" w:rsidP="00786A76">
            <w:pPr>
              <w:spacing w:after="0" w:line="240" w:lineRule="auto"/>
              <w:jc w:val="right"/>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3182</w:t>
            </w:r>
          </w:p>
        </w:tc>
        <w:tc>
          <w:tcPr>
            <w:tcW w:w="0" w:type="auto"/>
            <w:vMerge/>
            <w:tcBorders>
              <w:top w:val="nil"/>
              <w:left w:val="single" w:sz="8" w:space="0" w:color="auto"/>
              <w:bottom w:val="nil"/>
              <w:right w:val="single" w:sz="8" w:space="0" w:color="auto"/>
            </w:tcBorders>
            <w:vAlign w:val="center"/>
            <w:hideMark/>
          </w:tcPr>
          <w:p w:rsidR="0047390F" w:rsidRPr="00681F70" w:rsidRDefault="0047390F" w:rsidP="00786A76">
            <w:pPr>
              <w:spacing w:after="0" w:line="240" w:lineRule="auto"/>
              <w:rPr>
                <w:rFonts w:ascii="Arial" w:eastAsia="Times New Roman" w:hAnsi="Arial" w:cs="Arial"/>
                <w:color w:val="000000"/>
                <w:sz w:val="16"/>
                <w:szCs w:val="16"/>
                <w:lang w:eastAsia="en-GB"/>
              </w:rPr>
            </w:pPr>
          </w:p>
        </w:tc>
      </w:tr>
      <w:tr w:rsidR="00C07FE1" w:rsidTr="0047390F">
        <w:trPr>
          <w:trHeight w:val="315"/>
        </w:trPr>
        <w:tc>
          <w:tcPr>
            <w:tcW w:w="1304" w:type="pct"/>
            <w:tcBorders>
              <w:top w:val="nil"/>
              <w:left w:val="single" w:sz="8" w:space="0" w:color="auto"/>
              <w:bottom w:val="nil"/>
              <w:right w:val="single" w:sz="4" w:space="0" w:color="auto"/>
            </w:tcBorders>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lastRenderedPageBreak/>
              <w:t>Source: UCLAN</w:t>
            </w:r>
          </w:p>
        </w:tc>
        <w:tc>
          <w:tcPr>
            <w:tcW w:w="539" w:type="pct"/>
            <w:tcBorders>
              <w:top w:val="nil"/>
              <w:left w:val="single" w:sz="4" w:space="0" w:color="auto"/>
              <w:bottom w:val="single" w:sz="4" w:space="0" w:color="auto"/>
              <w:right w:val="single" w:sz="4" w:space="0" w:color="auto"/>
            </w:tcBorders>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 </w:t>
            </w:r>
          </w:p>
        </w:tc>
        <w:tc>
          <w:tcPr>
            <w:tcW w:w="462" w:type="pct"/>
            <w:tcBorders>
              <w:top w:val="nil"/>
              <w:left w:val="single" w:sz="4" w:space="0" w:color="auto"/>
              <w:bottom w:val="nil"/>
              <w:right w:val="single" w:sz="8" w:space="0" w:color="auto"/>
            </w:tcBorders>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 </w:t>
            </w:r>
          </w:p>
        </w:tc>
        <w:tc>
          <w:tcPr>
            <w:tcW w:w="462" w:type="pct"/>
            <w:tcBorders>
              <w:top w:val="nil"/>
              <w:left w:val="nil"/>
              <w:bottom w:val="nil"/>
              <w:right w:val="single" w:sz="8" w:space="0" w:color="auto"/>
            </w:tcBorders>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 </w:t>
            </w:r>
          </w:p>
        </w:tc>
        <w:tc>
          <w:tcPr>
            <w:tcW w:w="462" w:type="pct"/>
            <w:tcBorders>
              <w:top w:val="nil"/>
              <w:left w:val="nil"/>
              <w:bottom w:val="nil"/>
              <w:right w:val="single" w:sz="8" w:space="0" w:color="auto"/>
            </w:tcBorders>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 </w:t>
            </w:r>
          </w:p>
        </w:tc>
        <w:tc>
          <w:tcPr>
            <w:tcW w:w="438" w:type="pct"/>
            <w:tcBorders>
              <w:top w:val="nil"/>
              <w:left w:val="nil"/>
              <w:bottom w:val="nil"/>
              <w:right w:val="single" w:sz="8" w:space="0" w:color="auto"/>
            </w:tcBorders>
            <w:shd w:val="clear" w:color="auto" w:fill="F2F2F2"/>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 </w:t>
            </w:r>
          </w:p>
        </w:tc>
        <w:tc>
          <w:tcPr>
            <w:tcW w:w="410" w:type="pct"/>
            <w:tcBorders>
              <w:top w:val="nil"/>
              <w:left w:val="nil"/>
              <w:bottom w:val="nil"/>
              <w:right w:val="single" w:sz="8" w:space="0" w:color="auto"/>
            </w:tcBorders>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 </w:t>
            </w:r>
          </w:p>
        </w:tc>
        <w:tc>
          <w:tcPr>
            <w:tcW w:w="462" w:type="pct"/>
            <w:tcBorders>
              <w:top w:val="nil"/>
              <w:left w:val="nil"/>
              <w:bottom w:val="nil"/>
              <w:right w:val="single" w:sz="8" w:space="0" w:color="auto"/>
            </w:tcBorders>
            <w:shd w:val="clear" w:color="auto" w:fill="F2F2F2"/>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 </w:t>
            </w:r>
          </w:p>
        </w:tc>
        <w:tc>
          <w:tcPr>
            <w:tcW w:w="0" w:type="auto"/>
            <w:vMerge/>
            <w:tcBorders>
              <w:top w:val="nil"/>
              <w:left w:val="single" w:sz="8" w:space="0" w:color="auto"/>
              <w:bottom w:val="nil"/>
              <w:right w:val="single" w:sz="8" w:space="0" w:color="auto"/>
            </w:tcBorders>
            <w:vAlign w:val="center"/>
            <w:hideMark/>
          </w:tcPr>
          <w:p w:rsidR="0047390F" w:rsidRPr="00681F70" w:rsidRDefault="0047390F" w:rsidP="00786A76">
            <w:pPr>
              <w:spacing w:after="0" w:line="240" w:lineRule="auto"/>
              <w:rPr>
                <w:rFonts w:ascii="Arial" w:eastAsia="Times New Roman" w:hAnsi="Arial" w:cs="Arial"/>
                <w:color w:val="000000"/>
                <w:sz w:val="16"/>
                <w:szCs w:val="16"/>
                <w:lang w:eastAsia="en-GB"/>
              </w:rPr>
            </w:pPr>
          </w:p>
        </w:tc>
      </w:tr>
      <w:tr w:rsidR="00C07FE1" w:rsidTr="0047390F">
        <w:trPr>
          <w:trHeight w:val="450"/>
        </w:trPr>
        <w:tc>
          <w:tcPr>
            <w:tcW w:w="1304" w:type="pct"/>
            <w:tcBorders>
              <w:top w:val="single" w:sz="8" w:space="0" w:color="auto"/>
              <w:left w:val="single" w:sz="8" w:space="0" w:color="auto"/>
              <w:bottom w:val="nil"/>
              <w:right w:val="single" w:sz="4" w:space="0" w:color="auto"/>
            </w:tcBorders>
            <w:vAlign w:val="center"/>
            <w:hideMark/>
          </w:tcPr>
          <w:p w:rsidR="0047390F" w:rsidRPr="00681F70" w:rsidRDefault="00EE7244" w:rsidP="00786A76">
            <w:pPr>
              <w:spacing w:after="0" w:line="240" w:lineRule="auto"/>
              <w:rPr>
                <w:rFonts w:ascii="Arial" w:eastAsia="Times New Roman" w:hAnsi="Arial" w:cs="Arial"/>
                <w:b/>
                <w:bCs/>
                <w:color w:val="000000"/>
                <w:sz w:val="16"/>
                <w:szCs w:val="16"/>
                <w:lang w:eastAsia="en-GB"/>
              </w:rPr>
            </w:pPr>
            <w:r w:rsidRPr="00681F70">
              <w:rPr>
                <w:rFonts w:ascii="Arial" w:eastAsia="Times New Roman" w:hAnsi="Arial" w:cs="Arial"/>
                <w:b/>
                <w:bCs/>
                <w:color w:val="000000"/>
                <w:sz w:val="16"/>
                <w:szCs w:val="16"/>
                <w:lang w:eastAsia="en-GB"/>
              </w:rPr>
              <w:t xml:space="preserve">7. Job Seekers Allowance (JSA) and Universal Credit (UC) claimants </w:t>
            </w:r>
          </w:p>
        </w:tc>
        <w:tc>
          <w:tcPr>
            <w:tcW w:w="539" w:type="pct"/>
            <w:tcBorders>
              <w:top w:val="single" w:sz="4" w:space="0" w:color="auto"/>
              <w:left w:val="single" w:sz="4" w:space="0" w:color="auto"/>
              <w:bottom w:val="nil"/>
              <w:right w:val="single" w:sz="4" w:space="0" w:color="auto"/>
            </w:tcBorders>
            <w:vAlign w:val="center"/>
            <w:hideMark/>
          </w:tcPr>
          <w:p w:rsidR="0047390F" w:rsidRPr="00681F70" w:rsidRDefault="00EE7244" w:rsidP="00786A76">
            <w:pPr>
              <w:spacing w:after="0" w:line="240" w:lineRule="auto"/>
              <w:jc w:val="right"/>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Apr-13</w:t>
            </w:r>
          </w:p>
        </w:tc>
        <w:tc>
          <w:tcPr>
            <w:tcW w:w="462" w:type="pct"/>
            <w:tcBorders>
              <w:top w:val="single" w:sz="8" w:space="0" w:color="auto"/>
              <w:left w:val="single" w:sz="4" w:space="0" w:color="auto"/>
              <w:bottom w:val="nil"/>
              <w:right w:val="single" w:sz="8" w:space="0" w:color="auto"/>
            </w:tcBorders>
            <w:vAlign w:val="center"/>
            <w:hideMark/>
          </w:tcPr>
          <w:p w:rsidR="0047390F" w:rsidRPr="00681F70" w:rsidRDefault="00EE7244" w:rsidP="00786A76">
            <w:pPr>
              <w:spacing w:after="0" w:line="240" w:lineRule="auto"/>
              <w:jc w:val="right"/>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Apr-14</w:t>
            </w:r>
          </w:p>
        </w:tc>
        <w:tc>
          <w:tcPr>
            <w:tcW w:w="462" w:type="pct"/>
            <w:tcBorders>
              <w:top w:val="single" w:sz="8" w:space="0" w:color="auto"/>
              <w:left w:val="nil"/>
              <w:bottom w:val="nil"/>
              <w:right w:val="single" w:sz="8" w:space="0" w:color="auto"/>
            </w:tcBorders>
            <w:vAlign w:val="center"/>
            <w:hideMark/>
          </w:tcPr>
          <w:p w:rsidR="0047390F" w:rsidRPr="00681F70" w:rsidRDefault="00EE7244" w:rsidP="00786A76">
            <w:pPr>
              <w:spacing w:after="0" w:line="240" w:lineRule="auto"/>
              <w:jc w:val="right"/>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Apr-15</w:t>
            </w:r>
          </w:p>
        </w:tc>
        <w:tc>
          <w:tcPr>
            <w:tcW w:w="462" w:type="pct"/>
            <w:tcBorders>
              <w:top w:val="single" w:sz="8" w:space="0" w:color="auto"/>
              <w:left w:val="nil"/>
              <w:bottom w:val="nil"/>
              <w:right w:val="single" w:sz="8" w:space="0" w:color="auto"/>
            </w:tcBorders>
            <w:vAlign w:val="center"/>
            <w:hideMark/>
          </w:tcPr>
          <w:p w:rsidR="0047390F" w:rsidRPr="00681F70" w:rsidRDefault="00EE7244" w:rsidP="00786A76">
            <w:pPr>
              <w:spacing w:after="0" w:line="240" w:lineRule="auto"/>
              <w:jc w:val="right"/>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Apr-16</w:t>
            </w:r>
          </w:p>
        </w:tc>
        <w:tc>
          <w:tcPr>
            <w:tcW w:w="438" w:type="pct"/>
            <w:tcBorders>
              <w:top w:val="single" w:sz="8" w:space="0" w:color="auto"/>
              <w:left w:val="nil"/>
              <w:bottom w:val="nil"/>
              <w:right w:val="single" w:sz="8" w:space="0" w:color="auto"/>
            </w:tcBorders>
            <w:shd w:val="clear" w:color="auto" w:fill="F2F2F2"/>
            <w:vAlign w:val="center"/>
            <w:hideMark/>
          </w:tcPr>
          <w:p w:rsidR="0047390F" w:rsidRPr="00681F70" w:rsidRDefault="00EE7244" w:rsidP="00786A76">
            <w:pPr>
              <w:spacing w:after="0" w:line="240" w:lineRule="auto"/>
              <w:rPr>
                <w:rFonts w:ascii="Arial" w:eastAsia="Times New Roman" w:hAnsi="Arial" w:cs="Arial"/>
                <w:b/>
                <w:bCs/>
                <w:color w:val="000000"/>
                <w:sz w:val="16"/>
                <w:szCs w:val="16"/>
                <w:lang w:eastAsia="en-GB"/>
              </w:rPr>
            </w:pPr>
            <w:r w:rsidRPr="00681F70">
              <w:rPr>
                <w:rFonts w:ascii="Arial" w:eastAsia="Times New Roman" w:hAnsi="Arial" w:cs="Arial"/>
                <w:b/>
                <w:bCs/>
                <w:color w:val="000000"/>
                <w:sz w:val="16"/>
                <w:szCs w:val="16"/>
                <w:lang w:eastAsia="en-GB"/>
              </w:rPr>
              <w:t> </w:t>
            </w:r>
          </w:p>
        </w:tc>
        <w:tc>
          <w:tcPr>
            <w:tcW w:w="410" w:type="pct"/>
            <w:tcBorders>
              <w:top w:val="single" w:sz="8" w:space="0" w:color="auto"/>
              <w:left w:val="nil"/>
              <w:bottom w:val="nil"/>
              <w:right w:val="single" w:sz="8" w:space="0" w:color="auto"/>
            </w:tcBorders>
            <w:vAlign w:val="center"/>
            <w:hideMark/>
          </w:tcPr>
          <w:p w:rsidR="0047390F" w:rsidRPr="00681F70" w:rsidRDefault="00EE7244" w:rsidP="00786A76">
            <w:pPr>
              <w:spacing w:after="0" w:line="240" w:lineRule="auto"/>
              <w:jc w:val="right"/>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Apr-17</w:t>
            </w:r>
          </w:p>
        </w:tc>
        <w:tc>
          <w:tcPr>
            <w:tcW w:w="462" w:type="pct"/>
            <w:tcBorders>
              <w:top w:val="single" w:sz="8" w:space="0" w:color="auto"/>
              <w:left w:val="nil"/>
              <w:bottom w:val="nil"/>
              <w:right w:val="single" w:sz="8" w:space="0" w:color="auto"/>
            </w:tcBorders>
            <w:shd w:val="clear" w:color="auto" w:fill="F2F2F2"/>
            <w:vAlign w:val="center"/>
            <w:hideMark/>
          </w:tcPr>
          <w:p w:rsidR="0047390F" w:rsidRPr="00681F70" w:rsidRDefault="00EE7244" w:rsidP="00786A76">
            <w:pPr>
              <w:spacing w:after="0" w:line="240" w:lineRule="auto"/>
              <w:rPr>
                <w:rFonts w:ascii="Arial" w:eastAsia="Times New Roman" w:hAnsi="Arial" w:cs="Arial"/>
                <w:b/>
                <w:bCs/>
                <w:color w:val="000000"/>
                <w:sz w:val="16"/>
                <w:szCs w:val="16"/>
                <w:lang w:eastAsia="en-GB"/>
              </w:rPr>
            </w:pPr>
            <w:r w:rsidRPr="00681F70">
              <w:rPr>
                <w:rFonts w:ascii="Arial" w:eastAsia="Times New Roman" w:hAnsi="Arial" w:cs="Arial"/>
                <w:b/>
                <w:bCs/>
                <w:color w:val="000000"/>
                <w:sz w:val="16"/>
                <w:szCs w:val="16"/>
                <w:lang w:eastAsia="en-GB"/>
              </w:rPr>
              <w:t> </w:t>
            </w:r>
          </w:p>
        </w:tc>
        <w:tc>
          <w:tcPr>
            <w:tcW w:w="461" w:type="pct"/>
            <w:tcBorders>
              <w:top w:val="single" w:sz="8" w:space="0" w:color="auto"/>
              <w:left w:val="nil"/>
              <w:bottom w:val="nil"/>
              <w:right w:val="single" w:sz="8" w:space="0" w:color="auto"/>
            </w:tcBorders>
            <w:vAlign w:val="center"/>
            <w:hideMark/>
          </w:tcPr>
          <w:p w:rsidR="0047390F" w:rsidRPr="00681F70" w:rsidRDefault="00EE7244" w:rsidP="00786A76">
            <w:pPr>
              <w:spacing w:after="0" w:line="240" w:lineRule="auto"/>
              <w:jc w:val="right"/>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Apr-18</w:t>
            </w:r>
          </w:p>
        </w:tc>
      </w:tr>
      <w:tr w:rsidR="00C07FE1" w:rsidTr="0047390F">
        <w:trPr>
          <w:trHeight w:val="300"/>
        </w:trPr>
        <w:tc>
          <w:tcPr>
            <w:tcW w:w="1304" w:type="pct"/>
            <w:tcBorders>
              <w:top w:val="nil"/>
              <w:left w:val="single" w:sz="8" w:space="0" w:color="auto"/>
              <w:bottom w:val="nil"/>
              <w:right w:val="single" w:sz="4" w:space="0" w:color="auto"/>
            </w:tcBorders>
            <w:vAlign w:val="center"/>
            <w:hideMark/>
          </w:tcPr>
          <w:p w:rsidR="0047390F" w:rsidRPr="00681F70" w:rsidRDefault="00EE7244" w:rsidP="00786A76">
            <w:pPr>
              <w:spacing w:after="0" w:line="240" w:lineRule="auto"/>
              <w:rPr>
                <w:rFonts w:ascii="Arial" w:eastAsia="Times New Roman" w:hAnsi="Arial" w:cs="Arial"/>
                <w:i/>
                <w:iCs/>
                <w:color w:val="000000"/>
                <w:sz w:val="16"/>
                <w:szCs w:val="16"/>
                <w:lang w:eastAsia="en-GB"/>
              </w:rPr>
            </w:pPr>
            <w:r w:rsidRPr="00681F70">
              <w:rPr>
                <w:rFonts w:ascii="Arial" w:eastAsia="Times New Roman" w:hAnsi="Arial" w:cs="Arial"/>
                <w:i/>
                <w:iCs/>
                <w:color w:val="000000"/>
                <w:sz w:val="16"/>
                <w:szCs w:val="16"/>
                <w:lang w:eastAsia="en-GB"/>
              </w:rPr>
              <w:t>Percentage Change</w:t>
            </w:r>
          </w:p>
        </w:tc>
        <w:tc>
          <w:tcPr>
            <w:tcW w:w="539" w:type="pct"/>
            <w:tcBorders>
              <w:top w:val="nil"/>
              <w:left w:val="single" w:sz="4" w:space="0" w:color="auto"/>
              <w:bottom w:val="nil"/>
              <w:right w:val="single" w:sz="4" w:space="0" w:color="auto"/>
            </w:tcBorders>
            <w:vAlign w:val="center"/>
            <w:hideMark/>
          </w:tcPr>
          <w:p w:rsidR="0047390F" w:rsidRPr="00681F70" w:rsidRDefault="00EE7244" w:rsidP="00786A76">
            <w:pPr>
              <w:spacing w:after="0" w:line="240" w:lineRule="auto"/>
              <w:rPr>
                <w:rFonts w:ascii="Arial" w:eastAsia="Times New Roman" w:hAnsi="Arial" w:cs="Arial"/>
                <w:b/>
                <w:bCs/>
                <w:color w:val="000000"/>
                <w:sz w:val="16"/>
                <w:szCs w:val="16"/>
                <w:lang w:eastAsia="en-GB"/>
              </w:rPr>
            </w:pPr>
            <w:r w:rsidRPr="00681F70">
              <w:rPr>
                <w:rFonts w:ascii="Arial" w:eastAsia="Times New Roman" w:hAnsi="Arial" w:cs="Arial"/>
                <w:b/>
                <w:bCs/>
                <w:color w:val="000000"/>
                <w:sz w:val="16"/>
                <w:szCs w:val="16"/>
                <w:lang w:eastAsia="en-GB"/>
              </w:rPr>
              <w:t> </w:t>
            </w:r>
          </w:p>
        </w:tc>
        <w:tc>
          <w:tcPr>
            <w:tcW w:w="462" w:type="pct"/>
            <w:tcBorders>
              <w:top w:val="nil"/>
              <w:left w:val="single" w:sz="4" w:space="0" w:color="auto"/>
              <w:bottom w:val="nil"/>
              <w:right w:val="single" w:sz="8" w:space="0" w:color="auto"/>
            </w:tcBorders>
            <w:vAlign w:val="center"/>
            <w:hideMark/>
          </w:tcPr>
          <w:p w:rsidR="0047390F" w:rsidRPr="00681F70" w:rsidRDefault="00EE7244" w:rsidP="00786A76">
            <w:pPr>
              <w:spacing w:after="0" w:line="240" w:lineRule="auto"/>
              <w:jc w:val="right"/>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-23%</w:t>
            </w:r>
          </w:p>
        </w:tc>
        <w:tc>
          <w:tcPr>
            <w:tcW w:w="462" w:type="pct"/>
            <w:tcBorders>
              <w:top w:val="nil"/>
              <w:left w:val="nil"/>
              <w:bottom w:val="nil"/>
              <w:right w:val="single" w:sz="8" w:space="0" w:color="auto"/>
            </w:tcBorders>
            <w:vAlign w:val="center"/>
            <w:hideMark/>
          </w:tcPr>
          <w:p w:rsidR="0047390F" w:rsidRPr="00681F70" w:rsidRDefault="00EE7244" w:rsidP="00786A76">
            <w:pPr>
              <w:spacing w:after="0" w:line="240" w:lineRule="auto"/>
              <w:jc w:val="right"/>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-23%</w:t>
            </w:r>
          </w:p>
        </w:tc>
        <w:tc>
          <w:tcPr>
            <w:tcW w:w="462" w:type="pct"/>
            <w:tcBorders>
              <w:top w:val="nil"/>
              <w:left w:val="nil"/>
              <w:bottom w:val="nil"/>
              <w:right w:val="single" w:sz="8" w:space="0" w:color="auto"/>
            </w:tcBorders>
            <w:vAlign w:val="center"/>
            <w:hideMark/>
          </w:tcPr>
          <w:p w:rsidR="0047390F" w:rsidRPr="00681F70" w:rsidRDefault="00EE7244" w:rsidP="00786A76">
            <w:pPr>
              <w:spacing w:after="0" w:line="240" w:lineRule="auto"/>
              <w:jc w:val="right"/>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2%</w:t>
            </w:r>
          </w:p>
        </w:tc>
        <w:tc>
          <w:tcPr>
            <w:tcW w:w="438" w:type="pct"/>
            <w:tcBorders>
              <w:top w:val="nil"/>
              <w:left w:val="nil"/>
              <w:bottom w:val="nil"/>
              <w:right w:val="single" w:sz="8" w:space="0" w:color="auto"/>
            </w:tcBorders>
            <w:shd w:val="clear" w:color="auto" w:fill="F2F2F2"/>
            <w:vAlign w:val="center"/>
            <w:hideMark/>
          </w:tcPr>
          <w:p w:rsidR="0047390F" w:rsidRPr="00681F70" w:rsidRDefault="00EE7244" w:rsidP="00786A76">
            <w:pPr>
              <w:spacing w:after="0" w:line="240" w:lineRule="auto"/>
              <w:rPr>
                <w:rFonts w:ascii="Arial" w:eastAsia="Times New Roman" w:hAnsi="Arial" w:cs="Arial"/>
                <w:b/>
                <w:bCs/>
                <w:color w:val="000000"/>
                <w:sz w:val="16"/>
                <w:szCs w:val="16"/>
                <w:lang w:eastAsia="en-GB"/>
              </w:rPr>
            </w:pPr>
            <w:r w:rsidRPr="00681F70">
              <w:rPr>
                <w:rFonts w:ascii="Arial" w:eastAsia="Times New Roman" w:hAnsi="Arial" w:cs="Arial"/>
                <w:b/>
                <w:bCs/>
                <w:color w:val="000000"/>
                <w:sz w:val="16"/>
                <w:szCs w:val="16"/>
                <w:lang w:eastAsia="en-GB"/>
              </w:rPr>
              <w:t> </w:t>
            </w:r>
          </w:p>
        </w:tc>
        <w:tc>
          <w:tcPr>
            <w:tcW w:w="410" w:type="pct"/>
            <w:tcBorders>
              <w:top w:val="nil"/>
              <w:left w:val="nil"/>
              <w:bottom w:val="nil"/>
              <w:right w:val="single" w:sz="8" w:space="0" w:color="auto"/>
            </w:tcBorders>
            <w:vAlign w:val="center"/>
            <w:hideMark/>
          </w:tcPr>
          <w:p w:rsidR="0047390F" w:rsidRPr="00681F70" w:rsidRDefault="00EE7244" w:rsidP="00786A76">
            <w:pPr>
              <w:spacing w:after="0" w:line="240" w:lineRule="auto"/>
              <w:jc w:val="right"/>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9%</w:t>
            </w:r>
          </w:p>
        </w:tc>
        <w:tc>
          <w:tcPr>
            <w:tcW w:w="462" w:type="pct"/>
            <w:tcBorders>
              <w:top w:val="nil"/>
              <w:left w:val="nil"/>
              <w:bottom w:val="nil"/>
              <w:right w:val="single" w:sz="8" w:space="0" w:color="auto"/>
            </w:tcBorders>
            <w:shd w:val="clear" w:color="auto" w:fill="F2F2F2"/>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 </w:t>
            </w:r>
          </w:p>
        </w:tc>
        <w:tc>
          <w:tcPr>
            <w:tcW w:w="461" w:type="pct"/>
            <w:tcBorders>
              <w:top w:val="nil"/>
              <w:left w:val="nil"/>
              <w:bottom w:val="nil"/>
              <w:right w:val="single" w:sz="8" w:space="0" w:color="auto"/>
            </w:tcBorders>
            <w:vAlign w:val="center"/>
            <w:hideMark/>
          </w:tcPr>
          <w:p w:rsidR="0047390F" w:rsidRPr="00681F70" w:rsidRDefault="00EE7244" w:rsidP="00786A76">
            <w:pPr>
              <w:spacing w:after="0" w:line="240" w:lineRule="auto"/>
              <w:jc w:val="right"/>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5%</w:t>
            </w:r>
          </w:p>
        </w:tc>
      </w:tr>
      <w:tr w:rsidR="00C07FE1" w:rsidTr="0047390F">
        <w:trPr>
          <w:trHeight w:val="675"/>
        </w:trPr>
        <w:tc>
          <w:tcPr>
            <w:tcW w:w="1304" w:type="pct"/>
            <w:tcBorders>
              <w:top w:val="nil"/>
              <w:left w:val="single" w:sz="8" w:space="0" w:color="auto"/>
              <w:bottom w:val="nil"/>
              <w:right w:val="single" w:sz="4" w:space="0" w:color="auto"/>
            </w:tcBorders>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A reduction in the overall numbers of active job seekers, who are receiving JSA and UC claimants in Preston and South Ribble.</w:t>
            </w:r>
          </w:p>
        </w:tc>
        <w:tc>
          <w:tcPr>
            <w:tcW w:w="539" w:type="pct"/>
            <w:tcBorders>
              <w:top w:val="nil"/>
              <w:left w:val="single" w:sz="4" w:space="0" w:color="auto"/>
              <w:bottom w:val="nil"/>
              <w:right w:val="single" w:sz="4" w:space="0" w:color="auto"/>
            </w:tcBorders>
            <w:vAlign w:val="center"/>
            <w:hideMark/>
          </w:tcPr>
          <w:p w:rsidR="0047390F" w:rsidRPr="00681F70" w:rsidRDefault="00EE7244" w:rsidP="00786A76">
            <w:pPr>
              <w:spacing w:after="0" w:line="240" w:lineRule="auto"/>
              <w:jc w:val="right"/>
              <w:rPr>
                <w:rFonts w:ascii="Arial" w:eastAsia="Times New Roman" w:hAnsi="Arial" w:cs="Arial"/>
                <w:b/>
                <w:bCs/>
                <w:color w:val="000000"/>
                <w:sz w:val="16"/>
                <w:szCs w:val="16"/>
                <w:lang w:eastAsia="en-GB"/>
              </w:rPr>
            </w:pPr>
            <w:r w:rsidRPr="00681F70">
              <w:rPr>
                <w:rFonts w:ascii="Arial" w:eastAsia="Times New Roman" w:hAnsi="Arial" w:cs="Arial"/>
                <w:b/>
                <w:bCs/>
                <w:color w:val="000000"/>
                <w:sz w:val="16"/>
                <w:szCs w:val="16"/>
                <w:lang w:eastAsia="en-GB"/>
              </w:rPr>
              <w:t>4,803</w:t>
            </w:r>
          </w:p>
        </w:tc>
        <w:tc>
          <w:tcPr>
            <w:tcW w:w="462" w:type="pct"/>
            <w:tcBorders>
              <w:top w:val="nil"/>
              <w:left w:val="single" w:sz="4" w:space="0" w:color="auto"/>
              <w:bottom w:val="nil"/>
              <w:right w:val="single" w:sz="8" w:space="0" w:color="auto"/>
            </w:tcBorders>
            <w:vAlign w:val="center"/>
            <w:hideMark/>
          </w:tcPr>
          <w:p w:rsidR="0047390F" w:rsidRPr="00681F70" w:rsidRDefault="00EE7244" w:rsidP="00786A76">
            <w:pPr>
              <w:spacing w:after="0" w:line="240" w:lineRule="auto"/>
              <w:jc w:val="right"/>
              <w:rPr>
                <w:rFonts w:ascii="Arial" w:eastAsia="Times New Roman" w:hAnsi="Arial" w:cs="Arial"/>
                <w:b/>
                <w:bCs/>
                <w:color w:val="000000"/>
                <w:sz w:val="16"/>
                <w:szCs w:val="16"/>
                <w:lang w:eastAsia="en-GB"/>
              </w:rPr>
            </w:pPr>
            <w:r w:rsidRPr="00681F70">
              <w:rPr>
                <w:rFonts w:ascii="Arial" w:eastAsia="Times New Roman" w:hAnsi="Arial" w:cs="Arial"/>
                <w:b/>
                <w:bCs/>
                <w:color w:val="000000"/>
                <w:sz w:val="16"/>
                <w:szCs w:val="16"/>
                <w:lang w:eastAsia="en-GB"/>
              </w:rPr>
              <w:t>3,705</w:t>
            </w:r>
          </w:p>
        </w:tc>
        <w:tc>
          <w:tcPr>
            <w:tcW w:w="462" w:type="pct"/>
            <w:tcBorders>
              <w:top w:val="nil"/>
              <w:left w:val="nil"/>
              <w:bottom w:val="nil"/>
              <w:right w:val="single" w:sz="8" w:space="0" w:color="auto"/>
            </w:tcBorders>
            <w:vAlign w:val="center"/>
            <w:hideMark/>
          </w:tcPr>
          <w:p w:rsidR="0047390F" w:rsidRPr="00681F70" w:rsidRDefault="00EE7244" w:rsidP="00786A76">
            <w:pPr>
              <w:spacing w:after="0" w:line="240" w:lineRule="auto"/>
              <w:jc w:val="right"/>
              <w:rPr>
                <w:rFonts w:ascii="Arial" w:eastAsia="Times New Roman" w:hAnsi="Arial" w:cs="Arial"/>
                <w:b/>
                <w:bCs/>
                <w:color w:val="000000"/>
                <w:sz w:val="16"/>
                <w:szCs w:val="16"/>
                <w:lang w:eastAsia="en-GB"/>
              </w:rPr>
            </w:pPr>
            <w:r w:rsidRPr="00681F70">
              <w:rPr>
                <w:rFonts w:ascii="Arial" w:eastAsia="Times New Roman" w:hAnsi="Arial" w:cs="Arial"/>
                <w:b/>
                <w:bCs/>
                <w:color w:val="000000"/>
                <w:sz w:val="16"/>
                <w:szCs w:val="16"/>
                <w:lang w:eastAsia="en-GB"/>
              </w:rPr>
              <w:t>2,855</w:t>
            </w:r>
          </w:p>
        </w:tc>
        <w:tc>
          <w:tcPr>
            <w:tcW w:w="462" w:type="pct"/>
            <w:tcBorders>
              <w:top w:val="nil"/>
              <w:left w:val="nil"/>
              <w:bottom w:val="nil"/>
              <w:right w:val="single" w:sz="8" w:space="0" w:color="auto"/>
            </w:tcBorders>
            <w:vAlign w:val="center"/>
            <w:hideMark/>
          </w:tcPr>
          <w:p w:rsidR="0047390F" w:rsidRPr="00681F70" w:rsidRDefault="00EE7244" w:rsidP="00786A76">
            <w:pPr>
              <w:spacing w:after="0" w:line="240" w:lineRule="auto"/>
              <w:jc w:val="right"/>
              <w:rPr>
                <w:rFonts w:ascii="Arial" w:eastAsia="Times New Roman" w:hAnsi="Arial" w:cs="Arial"/>
                <w:b/>
                <w:bCs/>
                <w:color w:val="000000"/>
                <w:sz w:val="16"/>
                <w:szCs w:val="16"/>
                <w:lang w:eastAsia="en-GB"/>
              </w:rPr>
            </w:pPr>
            <w:r w:rsidRPr="00681F70">
              <w:rPr>
                <w:rFonts w:ascii="Arial" w:eastAsia="Times New Roman" w:hAnsi="Arial" w:cs="Arial"/>
                <w:b/>
                <w:bCs/>
                <w:color w:val="000000"/>
                <w:sz w:val="16"/>
                <w:szCs w:val="16"/>
                <w:lang w:eastAsia="en-GB"/>
              </w:rPr>
              <w:t>2,900</w:t>
            </w:r>
          </w:p>
        </w:tc>
        <w:tc>
          <w:tcPr>
            <w:tcW w:w="438" w:type="pct"/>
            <w:tcBorders>
              <w:top w:val="nil"/>
              <w:left w:val="nil"/>
              <w:bottom w:val="nil"/>
              <w:right w:val="single" w:sz="8" w:space="0" w:color="auto"/>
            </w:tcBorders>
            <w:shd w:val="clear" w:color="auto" w:fill="F2F2F2"/>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n/a</w:t>
            </w:r>
          </w:p>
        </w:tc>
        <w:tc>
          <w:tcPr>
            <w:tcW w:w="410" w:type="pct"/>
            <w:tcBorders>
              <w:top w:val="nil"/>
              <w:left w:val="nil"/>
              <w:bottom w:val="nil"/>
              <w:right w:val="single" w:sz="8" w:space="0" w:color="auto"/>
            </w:tcBorders>
            <w:vAlign w:val="center"/>
            <w:hideMark/>
          </w:tcPr>
          <w:p w:rsidR="0047390F" w:rsidRPr="00681F70" w:rsidRDefault="00EE7244" w:rsidP="00786A76">
            <w:pPr>
              <w:spacing w:after="0" w:line="240" w:lineRule="auto"/>
              <w:jc w:val="right"/>
              <w:rPr>
                <w:rFonts w:ascii="Arial" w:eastAsia="Times New Roman" w:hAnsi="Arial" w:cs="Arial"/>
                <w:b/>
                <w:bCs/>
                <w:color w:val="000000"/>
                <w:sz w:val="16"/>
                <w:szCs w:val="16"/>
                <w:lang w:eastAsia="en-GB"/>
              </w:rPr>
            </w:pPr>
            <w:r w:rsidRPr="00681F70">
              <w:rPr>
                <w:rFonts w:ascii="Arial" w:eastAsia="Times New Roman" w:hAnsi="Arial" w:cs="Arial"/>
                <w:b/>
                <w:bCs/>
                <w:color w:val="000000"/>
                <w:sz w:val="16"/>
                <w:szCs w:val="16"/>
                <w:lang w:eastAsia="en-GB"/>
              </w:rPr>
              <w:t>3,175</w:t>
            </w:r>
          </w:p>
        </w:tc>
        <w:tc>
          <w:tcPr>
            <w:tcW w:w="462" w:type="pct"/>
            <w:tcBorders>
              <w:top w:val="nil"/>
              <w:left w:val="nil"/>
              <w:bottom w:val="nil"/>
              <w:right w:val="single" w:sz="8" w:space="0" w:color="auto"/>
            </w:tcBorders>
            <w:shd w:val="clear" w:color="auto" w:fill="F2F2F2"/>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n/a</w:t>
            </w:r>
          </w:p>
        </w:tc>
        <w:tc>
          <w:tcPr>
            <w:tcW w:w="461" w:type="pct"/>
            <w:tcBorders>
              <w:top w:val="nil"/>
              <w:left w:val="nil"/>
              <w:bottom w:val="nil"/>
              <w:right w:val="single" w:sz="8" w:space="0" w:color="auto"/>
            </w:tcBorders>
            <w:vAlign w:val="center"/>
            <w:hideMark/>
          </w:tcPr>
          <w:p w:rsidR="0047390F" w:rsidRPr="00681F70" w:rsidRDefault="00EE7244" w:rsidP="00786A76">
            <w:pPr>
              <w:spacing w:after="0" w:line="240" w:lineRule="auto"/>
              <w:jc w:val="right"/>
              <w:rPr>
                <w:rFonts w:ascii="Arial" w:eastAsia="Times New Roman" w:hAnsi="Arial" w:cs="Arial"/>
                <w:b/>
                <w:bCs/>
                <w:color w:val="000000"/>
                <w:sz w:val="16"/>
                <w:szCs w:val="16"/>
                <w:lang w:eastAsia="en-GB"/>
              </w:rPr>
            </w:pPr>
            <w:r w:rsidRPr="00681F70">
              <w:rPr>
                <w:rFonts w:ascii="Arial" w:eastAsia="Times New Roman" w:hAnsi="Arial" w:cs="Arial"/>
                <w:b/>
                <w:bCs/>
                <w:color w:val="000000"/>
                <w:sz w:val="16"/>
                <w:szCs w:val="16"/>
                <w:lang w:eastAsia="en-GB"/>
              </w:rPr>
              <w:t>3,325</w:t>
            </w:r>
          </w:p>
        </w:tc>
      </w:tr>
      <w:tr w:rsidR="00C07FE1" w:rsidTr="0047390F">
        <w:trPr>
          <w:trHeight w:val="315"/>
        </w:trPr>
        <w:tc>
          <w:tcPr>
            <w:tcW w:w="1304" w:type="pct"/>
            <w:tcBorders>
              <w:top w:val="nil"/>
              <w:left w:val="single" w:sz="8" w:space="0" w:color="auto"/>
              <w:bottom w:val="single" w:sz="8" w:space="0" w:color="auto"/>
              <w:right w:val="single" w:sz="4" w:space="0" w:color="auto"/>
            </w:tcBorders>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Source: NOMIS</w:t>
            </w:r>
          </w:p>
        </w:tc>
        <w:tc>
          <w:tcPr>
            <w:tcW w:w="539" w:type="pct"/>
            <w:tcBorders>
              <w:top w:val="nil"/>
              <w:left w:val="single" w:sz="4" w:space="0" w:color="auto"/>
              <w:bottom w:val="single" w:sz="4" w:space="0" w:color="auto"/>
              <w:right w:val="single" w:sz="4" w:space="0" w:color="auto"/>
            </w:tcBorders>
            <w:vAlign w:val="center"/>
            <w:hideMark/>
          </w:tcPr>
          <w:p w:rsidR="0047390F" w:rsidRPr="00681F70" w:rsidRDefault="00EE7244" w:rsidP="00786A76">
            <w:pPr>
              <w:spacing w:after="0" w:line="240" w:lineRule="auto"/>
              <w:rPr>
                <w:rFonts w:ascii="Arial" w:eastAsia="Times New Roman" w:hAnsi="Arial" w:cs="Arial"/>
                <w:b/>
                <w:bCs/>
                <w:color w:val="000000"/>
                <w:sz w:val="16"/>
                <w:szCs w:val="16"/>
                <w:lang w:eastAsia="en-GB"/>
              </w:rPr>
            </w:pPr>
            <w:r w:rsidRPr="00681F70">
              <w:rPr>
                <w:rFonts w:ascii="Arial" w:eastAsia="Times New Roman" w:hAnsi="Arial" w:cs="Arial"/>
                <w:b/>
                <w:bCs/>
                <w:color w:val="000000"/>
                <w:sz w:val="16"/>
                <w:szCs w:val="16"/>
                <w:lang w:eastAsia="en-GB"/>
              </w:rPr>
              <w:t> </w:t>
            </w:r>
          </w:p>
        </w:tc>
        <w:tc>
          <w:tcPr>
            <w:tcW w:w="462" w:type="pct"/>
            <w:tcBorders>
              <w:top w:val="nil"/>
              <w:left w:val="single" w:sz="4" w:space="0" w:color="auto"/>
              <w:bottom w:val="single" w:sz="4" w:space="0" w:color="auto"/>
              <w:right w:val="single" w:sz="8" w:space="0" w:color="auto"/>
            </w:tcBorders>
            <w:vAlign w:val="center"/>
            <w:hideMark/>
          </w:tcPr>
          <w:p w:rsidR="0047390F" w:rsidRPr="00681F70" w:rsidRDefault="00EE7244" w:rsidP="00786A76">
            <w:pPr>
              <w:spacing w:after="0" w:line="240" w:lineRule="auto"/>
              <w:rPr>
                <w:rFonts w:ascii="Arial" w:eastAsia="Times New Roman" w:hAnsi="Arial" w:cs="Arial"/>
                <w:b/>
                <w:bCs/>
                <w:color w:val="000000"/>
                <w:sz w:val="16"/>
                <w:szCs w:val="16"/>
                <w:lang w:eastAsia="en-GB"/>
              </w:rPr>
            </w:pPr>
            <w:r w:rsidRPr="00681F70">
              <w:rPr>
                <w:rFonts w:ascii="Arial" w:eastAsia="Times New Roman" w:hAnsi="Arial" w:cs="Arial"/>
                <w:b/>
                <w:bCs/>
                <w:color w:val="000000"/>
                <w:sz w:val="16"/>
                <w:szCs w:val="16"/>
                <w:lang w:eastAsia="en-GB"/>
              </w:rPr>
              <w:t> </w:t>
            </w:r>
          </w:p>
        </w:tc>
        <w:tc>
          <w:tcPr>
            <w:tcW w:w="462" w:type="pct"/>
            <w:tcBorders>
              <w:top w:val="nil"/>
              <w:left w:val="nil"/>
              <w:bottom w:val="single" w:sz="4" w:space="0" w:color="auto"/>
              <w:right w:val="single" w:sz="8" w:space="0" w:color="auto"/>
            </w:tcBorders>
            <w:vAlign w:val="center"/>
            <w:hideMark/>
          </w:tcPr>
          <w:p w:rsidR="0047390F" w:rsidRPr="00681F70" w:rsidRDefault="00EE7244" w:rsidP="00786A76">
            <w:pPr>
              <w:spacing w:after="0" w:line="240" w:lineRule="auto"/>
              <w:rPr>
                <w:rFonts w:ascii="Arial" w:eastAsia="Times New Roman" w:hAnsi="Arial" w:cs="Arial"/>
                <w:b/>
                <w:bCs/>
                <w:color w:val="000000"/>
                <w:sz w:val="16"/>
                <w:szCs w:val="16"/>
                <w:lang w:eastAsia="en-GB"/>
              </w:rPr>
            </w:pPr>
            <w:r w:rsidRPr="00681F70">
              <w:rPr>
                <w:rFonts w:ascii="Arial" w:eastAsia="Times New Roman" w:hAnsi="Arial" w:cs="Arial"/>
                <w:b/>
                <w:bCs/>
                <w:color w:val="000000"/>
                <w:sz w:val="16"/>
                <w:szCs w:val="16"/>
                <w:lang w:eastAsia="en-GB"/>
              </w:rPr>
              <w:t> </w:t>
            </w:r>
          </w:p>
        </w:tc>
        <w:tc>
          <w:tcPr>
            <w:tcW w:w="462" w:type="pct"/>
            <w:tcBorders>
              <w:top w:val="nil"/>
              <w:left w:val="nil"/>
              <w:bottom w:val="single" w:sz="8" w:space="0" w:color="auto"/>
              <w:right w:val="single" w:sz="8" w:space="0" w:color="auto"/>
            </w:tcBorders>
            <w:vAlign w:val="center"/>
            <w:hideMark/>
          </w:tcPr>
          <w:p w:rsidR="0047390F" w:rsidRPr="00681F70" w:rsidRDefault="00EE7244" w:rsidP="00786A76">
            <w:pPr>
              <w:spacing w:after="0" w:line="240" w:lineRule="auto"/>
              <w:rPr>
                <w:rFonts w:ascii="Arial" w:eastAsia="Times New Roman" w:hAnsi="Arial" w:cs="Arial"/>
                <w:b/>
                <w:bCs/>
                <w:color w:val="000000"/>
                <w:sz w:val="16"/>
                <w:szCs w:val="16"/>
                <w:lang w:eastAsia="en-GB"/>
              </w:rPr>
            </w:pPr>
            <w:r w:rsidRPr="00681F70">
              <w:rPr>
                <w:rFonts w:ascii="Arial" w:eastAsia="Times New Roman" w:hAnsi="Arial" w:cs="Arial"/>
                <w:b/>
                <w:bCs/>
                <w:color w:val="000000"/>
                <w:sz w:val="16"/>
                <w:szCs w:val="16"/>
                <w:lang w:eastAsia="en-GB"/>
              </w:rPr>
              <w:t> </w:t>
            </w:r>
          </w:p>
        </w:tc>
        <w:tc>
          <w:tcPr>
            <w:tcW w:w="438" w:type="pct"/>
            <w:tcBorders>
              <w:top w:val="nil"/>
              <w:left w:val="nil"/>
              <w:bottom w:val="single" w:sz="8" w:space="0" w:color="auto"/>
              <w:right w:val="single" w:sz="8" w:space="0" w:color="auto"/>
            </w:tcBorders>
            <w:shd w:val="clear" w:color="auto" w:fill="F2F2F2"/>
            <w:vAlign w:val="center"/>
            <w:hideMark/>
          </w:tcPr>
          <w:p w:rsidR="0047390F" w:rsidRPr="00681F70" w:rsidRDefault="00EE7244" w:rsidP="00786A76">
            <w:pPr>
              <w:spacing w:after="0" w:line="240" w:lineRule="auto"/>
              <w:rPr>
                <w:rFonts w:ascii="Arial" w:eastAsia="Times New Roman" w:hAnsi="Arial" w:cs="Arial"/>
                <w:b/>
                <w:bCs/>
                <w:color w:val="000000"/>
                <w:sz w:val="16"/>
                <w:szCs w:val="16"/>
                <w:lang w:eastAsia="en-GB"/>
              </w:rPr>
            </w:pPr>
            <w:r w:rsidRPr="00681F70">
              <w:rPr>
                <w:rFonts w:ascii="Arial" w:eastAsia="Times New Roman" w:hAnsi="Arial" w:cs="Arial"/>
                <w:b/>
                <w:bCs/>
                <w:color w:val="000000"/>
                <w:sz w:val="16"/>
                <w:szCs w:val="16"/>
                <w:lang w:eastAsia="en-GB"/>
              </w:rPr>
              <w:t> </w:t>
            </w:r>
          </w:p>
        </w:tc>
        <w:tc>
          <w:tcPr>
            <w:tcW w:w="410" w:type="pct"/>
            <w:tcBorders>
              <w:top w:val="nil"/>
              <w:left w:val="nil"/>
              <w:bottom w:val="single" w:sz="8" w:space="0" w:color="auto"/>
              <w:right w:val="single" w:sz="8" w:space="0" w:color="auto"/>
            </w:tcBorders>
            <w:vAlign w:val="center"/>
            <w:hideMark/>
          </w:tcPr>
          <w:p w:rsidR="0047390F" w:rsidRPr="00681F70" w:rsidRDefault="00EE7244" w:rsidP="00786A76">
            <w:pPr>
              <w:spacing w:after="0" w:line="240" w:lineRule="auto"/>
              <w:rPr>
                <w:rFonts w:ascii="Arial" w:eastAsia="Times New Roman" w:hAnsi="Arial" w:cs="Arial"/>
                <w:b/>
                <w:bCs/>
                <w:color w:val="000000"/>
                <w:sz w:val="16"/>
                <w:szCs w:val="16"/>
                <w:lang w:eastAsia="en-GB"/>
              </w:rPr>
            </w:pPr>
            <w:r w:rsidRPr="00681F70">
              <w:rPr>
                <w:rFonts w:ascii="Arial" w:eastAsia="Times New Roman" w:hAnsi="Arial" w:cs="Arial"/>
                <w:b/>
                <w:bCs/>
                <w:color w:val="000000"/>
                <w:sz w:val="16"/>
                <w:szCs w:val="16"/>
                <w:lang w:eastAsia="en-GB"/>
              </w:rPr>
              <w:t> </w:t>
            </w:r>
          </w:p>
        </w:tc>
        <w:tc>
          <w:tcPr>
            <w:tcW w:w="462" w:type="pct"/>
            <w:tcBorders>
              <w:top w:val="nil"/>
              <w:left w:val="nil"/>
              <w:bottom w:val="single" w:sz="8" w:space="0" w:color="auto"/>
              <w:right w:val="single" w:sz="8" w:space="0" w:color="auto"/>
            </w:tcBorders>
            <w:shd w:val="clear" w:color="auto" w:fill="F2F2F2"/>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 </w:t>
            </w:r>
          </w:p>
        </w:tc>
        <w:tc>
          <w:tcPr>
            <w:tcW w:w="461" w:type="pct"/>
            <w:tcBorders>
              <w:top w:val="nil"/>
              <w:left w:val="nil"/>
              <w:bottom w:val="single" w:sz="8" w:space="0" w:color="auto"/>
              <w:right w:val="single" w:sz="8" w:space="0" w:color="auto"/>
            </w:tcBorders>
            <w:vAlign w:val="center"/>
            <w:hideMark/>
          </w:tcPr>
          <w:p w:rsidR="0047390F" w:rsidRPr="00681F70" w:rsidRDefault="00EE7244" w:rsidP="00786A76">
            <w:pPr>
              <w:spacing w:after="0" w:line="240" w:lineRule="auto"/>
              <w:rPr>
                <w:rFonts w:ascii="Arial" w:eastAsia="Times New Roman" w:hAnsi="Arial" w:cs="Arial"/>
                <w:b/>
                <w:bCs/>
                <w:color w:val="000000"/>
                <w:sz w:val="16"/>
                <w:szCs w:val="16"/>
                <w:lang w:eastAsia="en-GB"/>
              </w:rPr>
            </w:pPr>
            <w:r w:rsidRPr="00681F70">
              <w:rPr>
                <w:rFonts w:ascii="Arial" w:eastAsia="Times New Roman" w:hAnsi="Arial" w:cs="Arial"/>
                <w:b/>
                <w:bCs/>
                <w:color w:val="000000"/>
                <w:sz w:val="16"/>
                <w:szCs w:val="16"/>
                <w:lang w:eastAsia="en-GB"/>
              </w:rPr>
              <w:t> </w:t>
            </w:r>
          </w:p>
        </w:tc>
      </w:tr>
      <w:tr w:rsidR="00C07FE1" w:rsidTr="0047390F">
        <w:trPr>
          <w:trHeight w:val="450"/>
        </w:trPr>
        <w:tc>
          <w:tcPr>
            <w:tcW w:w="1304" w:type="pct"/>
            <w:tcBorders>
              <w:top w:val="nil"/>
              <w:left w:val="single" w:sz="8" w:space="0" w:color="auto"/>
              <w:bottom w:val="nil"/>
              <w:right w:val="single" w:sz="4" w:space="0" w:color="auto"/>
            </w:tcBorders>
            <w:vAlign w:val="center"/>
            <w:hideMark/>
          </w:tcPr>
          <w:p w:rsidR="0047390F" w:rsidRPr="00681F70" w:rsidRDefault="00EE7244" w:rsidP="00786A76">
            <w:pPr>
              <w:spacing w:after="0" w:line="240" w:lineRule="auto"/>
              <w:rPr>
                <w:rFonts w:ascii="Arial" w:eastAsia="Times New Roman" w:hAnsi="Arial" w:cs="Arial"/>
                <w:b/>
                <w:bCs/>
                <w:color w:val="000000"/>
                <w:sz w:val="16"/>
                <w:szCs w:val="16"/>
                <w:lang w:eastAsia="en-GB"/>
              </w:rPr>
            </w:pPr>
            <w:r w:rsidRPr="00681F70">
              <w:rPr>
                <w:rFonts w:ascii="Arial" w:eastAsia="Times New Roman" w:hAnsi="Arial" w:cs="Arial"/>
                <w:b/>
                <w:bCs/>
                <w:color w:val="000000"/>
                <w:sz w:val="16"/>
                <w:szCs w:val="16"/>
                <w:lang w:eastAsia="en-GB"/>
              </w:rPr>
              <w:t>8. Number of interventions/ activities promoting City Deal and construction career opportunities with:</w:t>
            </w:r>
          </w:p>
        </w:tc>
        <w:tc>
          <w:tcPr>
            <w:tcW w:w="539" w:type="pct"/>
            <w:vMerge w:val="restart"/>
            <w:tcBorders>
              <w:top w:val="single" w:sz="4" w:space="0" w:color="auto"/>
              <w:left w:val="single" w:sz="4" w:space="0" w:color="auto"/>
              <w:bottom w:val="single" w:sz="4" w:space="0" w:color="auto"/>
              <w:right w:val="single" w:sz="4" w:space="0" w:color="auto"/>
            </w:tcBorders>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Not available</w:t>
            </w:r>
          </w:p>
        </w:tc>
        <w:tc>
          <w:tcPr>
            <w:tcW w:w="462" w:type="pct"/>
            <w:vMerge w:val="restart"/>
            <w:tcBorders>
              <w:top w:val="single" w:sz="4" w:space="0" w:color="auto"/>
              <w:left w:val="single" w:sz="4" w:space="0" w:color="auto"/>
              <w:bottom w:val="single" w:sz="4" w:space="0" w:color="auto"/>
              <w:right w:val="single" w:sz="4" w:space="0" w:color="auto"/>
            </w:tcBorders>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Not available</w:t>
            </w:r>
          </w:p>
        </w:tc>
        <w:tc>
          <w:tcPr>
            <w:tcW w:w="462" w:type="pct"/>
            <w:vMerge w:val="restart"/>
            <w:tcBorders>
              <w:top w:val="single" w:sz="4" w:space="0" w:color="auto"/>
              <w:left w:val="single" w:sz="4" w:space="0" w:color="auto"/>
              <w:bottom w:val="single" w:sz="4" w:space="0" w:color="auto"/>
              <w:right w:val="single" w:sz="4" w:space="0" w:color="auto"/>
            </w:tcBorders>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Not available</w:t>
            </w:r>
          </w:p>
        </w:tc>
        <w:tc>
          <w:tcPr>
            <w:tcW w:w="462" w:type="pct"/>
            <w:tcBorders>
              <w:top w:val="nil"/>
              <w:left w:val="single" w:sz="4" w:space="0" w:color="auto"/>
              <w:bottom w:val="nil"/>
              <w:right w:val="single" w:sz="8" w:space="0" w:color="auto"/>
            </w:tcBorders>
            <w:noWrap/>
            <w:vAlign w:val="bottom"/>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 </w:t>
            </w:r>
          </w:p>
        </w:tc>
        <w:tc>
          <w:tcPr>
            <w:tcW w:w="438" w:type="pct"/>
            <w:tcBorders>
              <w:top w:val="nil"/>
              <w:left w:val="nil"/>
              <w:bottom w:val="nil"/>
              <w:right w:val="single" w:sz="8" w:space="0" w:color="auto"/>
            </w:tcBorders>
            <w:shd w:val="clear" w:color="auto" w:fill="F2F2F2"/>
            <w:noWrap/>
            <w:vAlign w:val="bottom"/>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 </w:t>
            </w:r>
          </w:p>
        </w:tc>
        <w:tc>
          <w:tcPr>
            <w:tcW w:w="410" w:type="pct"/>
            <w:noWrap/>
            <w:vAlign w:val="bottom"/>
            <w:hideMark/>
          </w:tcPr>
          <w:p w:rsidR="0047390F" w:rsidRPr="00681F70" w:rsidRDefault="0047390F" w:rsidP="00786A76">
            <w:pPr>
              <w:spacing w:after="0" w:line="240" w:lineRule="auto"/>
              <w:rPr>
                <w:rFonts w:ascii="Arial" w:eastAsia="Times New Roman" w:hAnsi="Arial" w:cs="Arial"/>
                <w:color w:val="000000"/>
                <w:sz w:val="16"/>
                <w:szCs w:val="16"/>
                <w:lang w:eastAsia="en-GB"/>
              </w:rPr>
            </w:pPr>
          </w:p>
        </w:tc>
        <w:tc>
          <w:tcPr>
            <w:tcW w:w="462" w:type="pct"/>
            <w:tcBorders>
              <w:top w:val="nil"/>
              <w:left w:val="single" w:sz="8" w:space="0" w:color="auto"/>
              <w:bottom w:val="nil"/>
              <w:right w:val="single" w:sz="8" w:space="0" w:color="auto"/>
            </w:tcBorders>
            <w:shd w:val="clear" w:color="auto" w:fill="F2F2F2"/>
            <w:noWrap/>
            <w:vAlign w:val="bottom"/>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 </w:t>
            </w:r>
          </w:p>
        </w:tc>
        <w:tc>
          <w:tcPr>
            <w:tcW w:w="461" w:type="pct"/>
            <w:tcBorders>
              <w:top w:val="nil"/>
              <w:left w:val="nil"/>
              <w:bottom w:val="nil"/>
              <w:right w:val="single" w:sz="8" w:space="0" w:color="auto"/>
            </w:tcBorders>
            <w:noWrap/>
            <w:vAlign w:val="bottom"/>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 </w:t>
            </w:r>
          </w:p>
        </w:tc>
      </w:tr>
      <w:tr w:rsidR="00C07FE1" w:rsidTr="0047390F">
        <w:trPr>
          <w:trHeight w:val="300"/>
        </w:trPr>
        <w:tc>
          <w:tcPr>
            <w:tcW w:w="1304" w:type="pct"/>
            <w:tcBorders>
              <w:top w:val="nil"/>
              <w:left w:val="single" w:sz="8" w:space="0" w:color="auto"/>
              <w:bottom w:val="nil"/>
              <w:right w:val="single" w:sz="4" w:space="0" w:color="auto"/>
            </w:tcBorders>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 xml:space="preserve">A.    Young People,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390F" w:rsidRPr="00681F70" w:rsidRDefault="0047390F" w:rsidP="00786A76">
            <w:pPr>
              <w:spacing w:after="0" w:line="240" w:lineRule="auto"/>
              <w:rPr>
                <w:rFonts w:ascii="Arial" w:eastAsia="Times New Roman" w:hAnsi="Arial" w:cs="Arial"/>
                <w:color w:val="000000"/>
                <w:sz w:val="16"/>
                <w:szCs w:val="16"/>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390F" w:rsidRPr="00681F70" w:rsidRDefault="0047390F" w:rsidP="00786A76">
            <w:pPr>
              <w:spacing w:after="0" w:line="240" w:lineRule="auto"/>
              <w:rPr>
                <w:rFonts w:ascii="Arial" w:eastAsia="Times New Roman" w:hAnsi="Arial" w:cs="Arial"/>
                <w:color w:val="000000"/>
                <w:sz w:val="16"/>
                <w:szCs w:val="16"/>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390F" w:rsidRPr="00681F70" w:rsidRDefault="0047390F" w:rsidP="00786A76">
            <w:pPr>
              <w:spacing w:after="0" w:line="240" w:lineRule="auto"/>
              <w:rPr>
                <w:rFonts w:ascii="Arial" w:eastAsia="Times New Roman" w:hAnsi="Arial" w:cs="Arial"/>
                <w:color w:val="000000"/>
                <w:sz w:val="16"/>
                <w:szCs w:val="16"/>
                <w:lang w:eastAsia="en-GB"/>
              </w:rPr>
            </w:pPr>
          </w:p>
        </w:tc>
        <w:tc>
          <w:tcPr>
            <w:tcW w:w="462" w:type="pct"/>
            <w:tcBorders>
              <w:top w:val="nil"/>
              <w:left w:val="single" w:sz="4" w:space="0" w:color="auto"/>
              <w:bottom w:val="nil"/>
              <w:right w:val="single" w:sz="8" w:space="0" w:color="auto"/>
            </w:tcBorders>
            <w:vAlign w:val="center"/>
            <w:hideMark/>
          </w:tcPr>
          <w:p w:rsidR="0047390F" w:rsidRPr="00681F70" w:rsidRDefault="00EE7244" w:rsidP="00786A76">
            <w:pPr>
              <w:spacing w:after="0" w:line="240" w:lineRule="auto"/>
              <w:rPr>
                <w:rFonts w:ascii="Arial" w:eastAsia="Times New Roman" w:hAnsi="Arial" w:cs="Arial"/>
                <w:b/>
                <w:bCs/>
                <w:color w:val="000000"/>
                <w:sz w:val="16"/>
                <w:szCs w:val="16"/>
                <w:lang w:eastAsia="en-GB"/>
              </w:rPr>
            </w:pPr>
            <w:r w:rsidRPr="00681F70">
              <w:rPr>
                <w:rFonts w:ascii="Arial" w:eastAsia="Times New Roman" w:hAnsi="Arial" w:cs="Arial"/>
                <w:b/>
                <w:bCs/>
                <w:color w:val="000000"/>
                <w:sz w:val="16"/>
                <w:szCs w:val="16"/>
                <w:lang w:eastAsia="en-GB"/>
              </w:rPr>
              <w:t>A 660</w:t>
            </w:r>
          </w:p>
        </w:tc>
        <w:tc>
          <w:tcPr>
            <w:tcW w:w="438" w:type="pct"/>
            <w:tcBorders>
              <w:top w:val="nil"/>
              <w:left w:val="nil"/>
              <w:bottom w:val="nil"/>
              <w:right w:val="single" w:sz="8" w:space="0" w:color="auto"/>
            </w:tcBorders>
            <w:shd w:val="clear" w:color="auto" w:fill="F2F2F2"/>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A 1500</w:t>
            </w:r>
          </w:p>
        </w:tc>
        <w:tc>
          <w:tcPr>
            <w:tcW w:w="410" w:type="pct"/>
            <w:vAlign w:val="center"/>
            <w:hideMark/>
          </w:tcPr>
          <w:p w:rsidR="0047390F" w:rsidRPr="00681F70" w:rsidRDefault="00EE7244" w:rsidP="00786A76">
            <w:pPr>
              <w:spacing w:after="0" w:line="240" w:lineRule="auto"/>
              <w:rPr>
                <w:rFonts w:ascii="Arial" w:eastAsia="Times New Roman" w:hAnsi="Arial" w:cs="Arial"/>
                <w:b/>
                <w:bCs/>
                <w:color w:val="000000"/>
                <w:sz w:val="16"/>
                <w:szCs w:val="16"/>
                <w:lang w:eastAsia="en-GB"/>
              </w:rPr>
            </w:pPr>
            <w:r w:rsidRPr="00681F70">
              <w:rPr>
                <w:rFonts w:ascii="Arial" w:eastAsia="Times New Roman" w:hAnsi="Arial" w:cs="Arial"/>
                <w:b/>
                <w:bCs/>
                <w:color w:val="000000"/>
                <w:sz w:val="16"/>
                <w:szCs w:val="16"/>
                <w:lang w:eastAsia="en-GB"/>
              </w:rPr>
              <w:t>A 760</w:t>
            </w:r>
          </w:p>
        </w:tc>
        <w:tc>
          <w:tcPr>
            <w:tcW w:w="462" w:type="pct"/>
            <w:tcBorders>
              <w:top w:val="nil"/>
              <w:left w:val="single" w:sz="8" w:space="0" w:color="auto"/>
              <w:bottom w:val="nil"/>
              <w:right w:val="single" w:sz="8" w:space="0" w:color="auto"/>
            </w:tcBorders>
            <w:shd w:val="clear" w:color="auto" w:fill="F2F2F2"/>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A 1500</w:t>
            </w:r>
          </w:p>
        </w:tc>
        <w:tc>
          <w:tcPr>
            <w:tcW w:w="461" w:type="pct"/>
            <w:tcBorders>
              <w:top w:val="nil"/>
              <w:left w:val="nil"/>
              <w:bottom w:val="nil"/>
              <w:right w:val="single" w:sz="8" w:space="0" w:color="auto"/>
            </w:tcBorders>
            <w:vAlign w:val="center"/>
            <w:hideMark/>
          </w:tcPr>
          <w:p w:rsidR="0047390F" w:rsidRPr="00681F70" w:rsidRDefault="00EE7244" w:rsidP="00786A76">
            <w:pPr>
              <w:spacing w:after="0" w:line="240" w:lineRule="auto"/>
              <w:rPr>
                <w:rFonts w:ascii="Arial" w:eastAsia="Times New Roman" w:hAnsi="Arial" w:cs="Arial"/>
                <w:b/>
                <w:bCs/>
                <w:color w:val="000000"/>
                <w:sz w:val="16"/>
                <w:szCs w:val="16"/>
                <w:lang w:eastAsia="en-GB"/>
              </w:rPr>
            </w:pPr>
            <w:r w:rsidRPr="00681F70">
              <w:rPr>
                <w:rFonts w:ascii="Arial" w:eastAsia="Times New Roman" w:hAnsi="Arial" w:cs="Arial"/>
                <w:b/>
                <w:bCs/>
                <w:color w:val="000000"/>
                <w:sz w:val="16"/>
                <w:szCs w:val="16"/>
                <w:lang w:eastAsia="en-GB"/>
              </w:rPr>
              <w:t>A 4048</w:t>
            </w:r>
          </w:p>
        </w:tc>
      </w:tr>
      <w:tr w:rsidR="00C07FE1" w:rsidTr="0047390F">
        <w:trPr>
          <w:trHeight w:val="300"/>
        </w:trPr>
        <w:tc>
          <w:tcPr>
            <w:tcW w:w="1304" w:type="pct"/>
            <w:tcBorders>
              <w:top w:val="nil"/>
              <w:left w:val="single" w:sz="8" w:space="0" w:color="auto"/>
              <w:bottom w:val="nil"/>
              <w:right w:val="single" w:sz="4" w:space="0" w:color="auto"/>
            </w:tcBorders>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B.    Teachers/IAG practitioners,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390F" w:rsidRPr="00681F70" w:rsidRDefault="0047390F" w:rsidP="00786A76">
            <w:pPr>
              <w:spacing w:after="0" w:line="240" w:lineRule="auto"/>
              <w:rPr>
                <w:rFonts w:ascii="Arial" w:eastAsia="Times New Roman" w:hAnsi="Arial" w:cs="Arial"/>
                <w:color w:val="000000"/>
                <w:sz w:val="16"/>
                <w:szCs w:val="16"/>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390F" w:rsidRPr="00681F70" w:rsidRDefault="0047390F" w:rsidP="00786A76">
            <w:pPr>
              <w:spacing w:after="0" w:line="240" w:lineRule="auto"/>
              <w:rPr>
                <w:rFonts w:ascii="Arial" w:eastAsia="Times New Roman" w:hAnsi="Arial" w:cs="Arial"/>
                <w:color w:val="000000"/>
                <w:sz w:val="16"/>
                <w:szCs w:val="16"/>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390F" w:rsidRPr="00681F70" w:rsidRDefault="0047390F" w:rsidP="00786A76">
            <w:pPr>
              <w:spacing w:after="0" w:line="240" w:lineRule="auto"/>
              <w:rPr>
                <w:rFonts w:ascii="Arial" w:eastAsia="Times New Roman" w:hAnsi="Arial" w:cs="Arial"/>
                <w:color w:val="000000"/>
                <w:sz w:val="16"/>
                <w:szCs w:val="16"/>
                <w:lang w:eastAsia="en-GB"/>
              </w:rPr>
            </w:pPr>
          </w:p>
        </w:tc>
        <w:tc>
          <w:tcPr>
            <w:tcW w:w="462" w:type="pct"/>
            <w:tcBorders>
              <w:top w:val="nil"/>
              <w:left w:val="single" w:sz="4" w:space="0" w:color="auto"/>
              <w:bottom w:val="nil"/>
              <w:right w:val="single" w:sz="8" w:space="0" w:color="auto"/>
            </w:tcBorders>
            <w:vAlign w:val="center"/>
            <w:hideMark/>
          </w:tcPr>
          <w:p w:rsidR="0047390F" w:rsidRPr="00681F70" w:rsidRDefault="00EE7244" w:rsidP="00786A76">
            <w:pPr>
              <w:spacing w:after="0" w:line="240" w:lineRule="auto"/>
              <w:rPr>
                <w:rFonts w:ascii="Arial" w:eastAsia="Times New Roman" w:hAnsi="Arial" w:cs="Arial"/>
                <w:b/>
                <w:bCs/>
                <w:color w:val="000000"/>
                <w:sz w:val="16"/>
                <w:szCs w:val="16"/>
                <w:lang w:eastAsia="en-GB"/>
              </w:rPr>
            </w:pPr>
            <w:r w:rsidRPr="00681F70">
              <w:rPr>
                <w:rFonts w:ascii="Arial" w:eastAsia="Times New Roman" w:hAnsi="Arial" w:cs="Arial"/>
                <w:b/>
                <w:bCs/>
                <w:color w:val="000000"/>
                <w:sz w:val="16"/>
                <w:szCs w:val="16"/>
                <w:lang w:eastAsia="en-GB"/>
              </w:rPr>
              <w:t>B 150</w:t>
            </w:r>
          </w:p>
        </w:tc>
        <w:tc>
          <w:tcPr>
            <w:tcW w:w="438" w:type="pct"/>
            <w:tcBorders>
              <w:top w:val="nil"/>
              <w:left w:val="nil"/>
              <w:bottom w:val="nil"/>
              <w:right w:val="single" w:sz="8" w:space="0" w:color="auto"/>
            </w:tcBorders>
            <w:shd w:val="clear" w:color="auto" w:fill="F2F2F2"/>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B 300</w:t>
            </w:r>
          </w:p>
        </w:tc>
        <w:tc>
          <w:tcPr>
            <w:tcW w:w="410" w:type="pct"/>
            <w:vAlign w:val="center"/>
            <w:hideMark/>
          </w:tcPr>
          <w:p w:rsidR="0047390F" w:rsidRPr="00681F70" w:rsidRDefault="00EE7244" w:rsidP="00786A76">
            <w:pPr>
              <w:spacing w:after="0" w:line="240" w:lineRule="auto"/>
              <w:rPr>
                <w:rFonts w:ascii="Arial" w:eastAsia="Times New Roman" w:hAnsi="Arial" w:cs="Arial"/>
                <w:b/>
                <w:bCs/>
                <w:color w:val="000000"/>
                <w:sz w:val="16"/>
                <w:szCs w:val="16"/>
                <w:lang w:eastAsia="en-GB"/>
              </w:rPr>
            </w:pPr>
            <w:r w:rsidRPr="00681F70">
              <w:rPr>
                <w:rFonts w:ascii="Arial" w:eastAsia="Times New Roman" w:hAnsi="Arial" w:cs="Arial"/>
                <w:b/>
                <w:bCs/>
                <w:color w:val="000000"/>
                <w:sz w:val="16"/>
                <w:szCs w:val="16"/>
                <w:lang w:eastAsia="en-GB"/>
              </w:rPr>
              <w:t>B 161</w:t>
            </w:r>
          </w:p>
        </w:tc>
        <w:tc>
          <w:tcPr>
            <w:tcW w:w="462" w:type="pct"/>
            <w:tcBorders>
              <w:top w:val="nil"/>
              <w:left w:val="single" w:sz="8" w:space="0" w:color="auto"/>
              <w:bottom w:val="nil"/>
              <w:right w:val="single" w:sz="8" w:space="0" w:color="auto"/>
            </w:tcBorders>
            <w:shd w:val="clear" w:color="auto" w:fill="F2F2F2"/>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B 300</w:t>
            </w:r>
          </w:p>
        </w:tc>
        <w:tc>
          <w:tcPr>
            <w:tcW w:w="461" w:type="pct"/>
            <w:tcBorders>
              <w:top w:val="nil"/>
              <w:left w:val="nil"/>
              <w:bottom w:val="nil"/>
              <w:right w:val="single" w:sz="8" w:space="0" w:color="auto"/>
            </w:tcBorders>
            <w:vAlign w:val="center"/>
            <w:hideMark/>
          </w:tcPr>
          <w:p w:rsidR="0047390F" w:rsidRPr="00681F70" w:rsidRDefault="00EE7244" w:rsidP="00786A76">
            <w:pPr>
              <w:spacing w:after="0" w:line="240" w:lineRule="auto"/>
              <w:rPr>
                <w:rFonts w:ascii="Arial" w:eastAsia="Times New Roman" w:hAnsi="Arial" w:cs="Arial"/>
                <w:b/>
                <w:bCs/>
                <w:color w:val="000000"/>
                <w:sz w:val="16"/>
                <w:szCs w:val="16"/>
                <w:lang w:eastAsia="en-GB"/>
              </w:rPr>
            </w:pPr>
            <w:r w:rsidRPr="00681F70">
              <w:rPr>
                <w:rFonts w:ascii="Arial" w:eastAsia="Times New Roman" w:hAnsi="Arial" w:cs="Arial"/>
                <w:b/>
                <w:bCs/>
                <w:color w:val="000000"/>
                <w:sz w:val="16"/>
                <w:szCs w:val="16"/>
                <w:lang w:eastAsia="en-GB"/>
              </w:rPr>
              <w:t>B 133</w:t>
            </w:r>
          </w:p>
        </w:tc>
      </w:tr>
      <w:tr w:rsidR="00C07FE1" w:rsidTr="0047390F">
        <w:trPr>
          <w:trHeight w:val="300"/>
        </w:trPr>
        <w:tc>
          <w:tcPr>
            <w:tcW w:w="1304" w:type="pct"/>
            <w:tcBorders>
              <w:top w:val="nil"/>
              <w:left w:val="single" w:sz="8" w:space="0" w:color="auto"/>
              <w:bottom w:val="nil"/>
              <w:right w:val="single" w:sz="4" w:space="0" w:color="auto"/>
            </w:tcBorders>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C.    Parents, and</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390F" w:rsidRPr="00681F70" w:rsidRDefault="0047390F" w:rsidP="00786A76">
            <w:pPr>
              <w:spacing w:after="0" w:line="240" w:lineRule="auto"/>
              <w:rPr>
                <w:rFonts w:ascii="Arial" w:eastAsia="Times New Roman" w:hAnsi="Arial" w:cs="Arial"/>
                <w:color w:val="000000"/>
                <w:sz w:val="16"/>
                <w:szCs w:val="16"/>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390F" w:rsidRPr="00681F70" w:rsidRDefault="0047390F" w:rsidP="00786A76">
            <w:pPr>
              <w:spacing w:after="0" w:line="240" w:lineRule="auto"/>
              <w:rPr>
                <w:rFonts w:ascii="Arial" w:eastAsia="Times New Roman" w:hAnsi="Arial" w:cs="Arial"/>
                <w:color w:val="000000"/>
                <w:sz w:val="16"/>
                <w:szCs w:val="16"/>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390F" w:rsidRPr="00681F70" w:rsidRDefault="0047390F" w:rsidP="00786A76">
            <w:pPr>
              <w:spacing w:after="0" w:line="240" w:lineRule="auto"/>
              <w:rPr>
                <w:rFonts w:ascii="Arial" w:eastAsia="Times New Roman" w:hAnsi="Arial" w:cs="Arial"/>
                <w:color w:val="000000"/>
                <w:sz w:val="16"/>
                <w:szCs w:val="16"/>
                <w:lang w:eastAsia="en-GB"/>
              </w:rPr>
            </w:pPr>
          </w:p>
        </w:tc>
        <w:tc>
          <w:tcPr>
            <w:tcW w:w="462" w:type="pct"/>
            <w:tcBorders>
              <w:top w:val="nil"/>
              <w:left w:val="single" w:sz="4" w:space="0" w:color="auto"/>
              <w:bottom w:val="nil"/>
              <w:right w:val="single" w:sz="8" w:space="0" w:color="auto"/>
            </w:tcBorders>
            <w:vAlign w:val="center"/>
            <w:hideMark/>
          </w:tcPr>
          <w:p w:rsidR="0047390F" w:rsidRPr="00681F70" w:rsidRDefault="00EE7244" w:rsidP="00786A76">
            <w:pPr>
              <w:spacing w:after="0" w:line="240" w:lineRule="auto"/>
              <w:rPr>
                <w:rFonts w:ascii="Arial" w:eastAsia="Times New Roman" w:hAnsi="Arial" w:cs="Arial"/>
                <w:b/>
                <w:bCs/>
                <w:color w:val="000000"/>
                <w:sz w:val="16"/>
                <w:szCs w:val="16"/>
                <w:lang w:eastAsia="en-GB"/>
              </w:rPr>
            </w:pPr>
            <w:r w:rsidRPr="00681F70">
              <w:rPr>
                <w:rFonts w:ascii="Arial" w:eastAsia="Times New Roman" w:hAnsi="Arial" w:cs="Arial"/>
                <w:b/>
                <w:bCs/>
                <w:color w:val="000000"/>
                <w:sz w:val="16"/>
                <w:szCs w:val="16"/>
                <w:lang w:eastAsia="en-GB"/>
              </w:rPr>
              <w:t>C 100</w:t>
            </w:r>
          </w:p>
        </w:tc>
        <w:tc>
          <w:tcPr>
            <w:tcW w:w="438" w:type="pct"/>
            <w:tcBorders>
              <w:top w:val="nil"/>
              <w:left w:val="nil"/>
              <w:bottom w:val="nil"/>
              <w:right w:val="single" w:sz="8" w:space="0" w:color="auto"/>
            </w:tcBorders>
            <w:shd w:val="clear" w:color="auto" w:fill="F2F2F2"/>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C 200</w:t>
            </w:r>
          </w:p>
        </w:tc>
        <w:tc>
          <w:tcPr>
            <w:tcW w:w="410" w:type="pct"/>
            <w:vAlign w:val="center"/>
            <w:hideMark/>
          </w:tcPr>
          <w:p w:rsidR="0047390F" w:rsidRPr="00681F70" w:rsidRDefault="00EE7244" w:rsidP="00786A76">
            <w:pPr>
              <w:spacing w:after="0" w:line="240" w:lineRule="auto"/>
              <w:rPr>
                <w:rFonts w:ascii="Arial" w:eastAsia="Times New Roman" w:hAnsi="Arial" w:cs="Arial"/>
                <w:b/>
                <w:bCs/>
                <w:color w:val="000000"/>
                <w:sz w:val="16"/>
                <w:szCs w:val="16"/>
                <w:lang w:eastAsia="en-GB"/>
              </w:rPr>
            </w:pPr>
            <w:r w:rsidRPr="00681F70">
              <w:rPr>
                <w:rFonts w:ascii="Arial" w:eastAsia="Times New Roman" w:hAnsi="Arial" w:cs="Arial"/>
                <w:b/>
                <w:bCs/>
                <w:color w:val="000000"/>
                <w:sz w:val="16"/>
                <w:szCs w:val="16"/>
                <w:lang w:eastAsia="en-GB"/>
              </w:rPr>
              <w:t>C 262</w:t>
            </w:r>
          </w:p>
        </w:tc>
        <w:tc>
          <w:tcPr>
            <w:tcW w:w="462" w:type="pct"/>
            <w:tcBorders>
              <w:top w:val="nil"/>
              <w:left w:val="single" w:sz="8" w:space="0" w:color="auto"/>
              <w:bottom w:val="nil"/>
              <w:right w:val="single" w:sz="8" w:space="0" w:color="auto"/>
            </w:tcBorders>
            <w:shd w:val="clear" w:color="auto" w:fill="F2F2F2"/>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C 200</w:t>
            </w:r>
          </w:p>
        </w:tc>
        <w:tc>
          <w:tcPr>
            <w:tcW w:w="461" w:type="pct"/>
            <w:tcBorders>
              <w:top w:val="nil"/>
              <w:left w:val="nil"/>
              <w:bottom w:val="nil"/>
              <w:right w:val="single" w:sz="8" w:space="0" w:color="auto"/>
            </w:tcBorders>
            <w:vAlign w:val="center"/>
            <w:hideMark/>
          </w:tcPr>
          <w:p w:rsidR="0047390F" w:rsidRPr="00681F70" w:rsidRDefault="00EE7244" w:rsidP="00786A76">
            <w:pPr>
              <w:spacing w:after="0" w:line="240" w:lineRule="auto"/>
              <w:rPr>
                <w:rFonts w:ascii="Arial" w:eastAsia="Times New Roman" w:hAnsi="Arial" w:cs="Arial"/>
                <w:b/>
                <w:bCs/>
                <w:color w:val="000000"/>
                <w:sz w:val="16"/>
                <w:szCs w:val="16"/>
                <w:lang w:eastAsia="en-GB"/>
              </w:rPr>
            </w:pPr>
            <w:r w:rsidRPr="00681F70">
              <w:rPr>
                <w:rFonts w:ascii="Arial" w:eastAsia="Times New Roman" w:hAnsi="Arial" w:cs="Arial"/>
                <w:b/>
                <w:bCs/>
                <w:color w:val="000000"/>
                <w:sz w:val="16"/>
                <w:szCs w:val="16"/>
                <w:lang w:eastAsia="en-GB"/>
              </w:rPr>
              <w:t>C 471</w:t>
            </w:r>
          </w:p>
        </w:tc>
      </w:tr>
      <w:tr w:rsidR="00C07FE1" w:rsidTr="0047390F">
        <w:trPr>
          <w:trHeight w:val="300"/>
        </w:trPr>
        <w:tc>
          <w:tcPr>
            <w:tcW w:w="1304" w:type="pct"/>
            <w:tcBorders>
              <w:top w:val="nil"/>
              <w:left w:val="single" w:sz="8" w:space="0" w:color="auto"/>
              <w:bottom w:val="nil"/>
              <w:right w:val="single" w:sz="4" w:space="0" w:color="auto"/>
            </w:tcBorders>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D.    Education Institutions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390F" w:rsidRPr="00681F70" w:rsidRDefault="0047390F" w:rsidP="00786A76">
            <w:pPr>
              <w:spacing w:after="0" w:line="240" w:lineRule="auto"/>
              <w:rPr>
                <w:rFonts w:ascii="Arial" w:eastAsia="Times New Roman" w:hAnsi="Arial" w:cs="Arial"/>
                <w:color w:val="000000"/>
                <w:sz w:val="16"/>
                <w:szCs w:val="16"/>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390F" w:rsidRPr="00681F70" w:rsidRDefault="0047390F" w:rsidP="00786A76">
            <w:pPr>
              <w:spacing w:after="0" w:line="240" w:lineRule="auto"/>
              <w:rPr>
                <w:rFonts w:ascii="Arial" w:eastAsia="Times New Roman" w:hAnsi="Arial" w:cs="Arial"/>
                <w:color w:val="000000"/>
                <w:sz w:val="16"/>
                <w:szCs w:val="16"/>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390F" w:rsidRPr="00681F70" w:rsidRDefault="0047390F" w:rsidP="00786A76">
            <w:pPr>
              <w:spacing w:after="0" w:line="240" w:lineRule="auto"/>
              <w:rPr>
                <w:rFonts w:ascii="Arial" w:eastAsia="Times New Roman" w:hAnsi="Arial" w:cs="Arial"/>
                <w:color w:val="000000"/>
                <w:sz w:val="16"/>
                <w:szCs w:val="16"/>
                <w:lang w:eastAsia="en-GB"/>
              </w:rPr>
            </w:pPr>
          </w:p>
        </w:tc>
        <w:tc>
          <w:tcPr>
            <w:tcW w:w="462" w:type="pct"/>
            <w:tcBorders>
              <w:top w:val="nil"/>
              <w:left w:val="single" w:sz="4" w:space="0" w:color="auto"/>
              <w:bottom w:val="nil"/>
              <w:right w:val="single" w:sz="8" w:space="0" w:color="auto"/>
            </w:tcBorders>
            <w:vAlign w:val="center"/>
            <w:hideMark/>
          </w:tcPr>
          <w:p w:rsidR="0047390F" w:rsidRPr="00681F70" w:rsidRDefault="00EE7244" w:rsidP="00786A76">
            <w:pPr>
              <w:spacing w:after="0" w:line="240" w:lineRule="auto"/>
              <w:rPr>
                <w:rFonts w:ascii="Arial" w:eastAsia="Times New Roman" w:hAnsi="Arial" w:cs="Arial"/>
                <w:b/>
                <w:bCs/>
                <w:color w:val="000000"/>
                <w:sz w:val="16"/>
                <w:szCs w:val="16"/>
                <w:lang w:eastAsia="en-GB"/>
              </w:rPr>
            </w:pPr>
            <w:r w:rsidRPr="00681F70">
              <w:rPr>
                <w:rFonts w:ascii="Arial" w:eastAsia="Times New Roman" w:hAnsi="Arial" w:cs="Arial"/>
                <w:b/>
                <w:bCs/>
                <w:color w:val="000000"/>
                <w:sz w:val="16"/>
                <w:szCs w:val="16"/>
                <w:lang w:eastAsia="en-GB"/>
              </w:rPr>
              <w:t>D 70</w:t>
            </w:r>
          </w:p>
        </w:tc>
        <w:tc>
          <w:tcPr>
            <w:tcW w:w="438" w:type="pct"/>
            <w:tcBorders>
              <w:top w:val="nil"/>
              <w:left w:val="nil"/>
              <w:bottom w:val="nil"/>
              <w:right w:val="single" w:sz="8" w:space="0" w:color="auto"/>
            </w:tcBorders>
            <w:shd w:val="clear" w:color="auto" w:fill="F2F2F2"/>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D 200</w:t>
            </w:r>
          </w:p>
        </w:tc>
        <w:tc>
          <w:tcPr>
            <w:tcW w:w="410" w:type="pct"/>
            <w:vAlign w:val="center"/>
            <w:hideMark/>
          </w:tcPr>
          <w:p w:rsidR="0047390F" w:rsidRPr="00681F70" w:rsidRDefault="00EE7244" w:rsidP="00786A76">
            <w:pPr>
              <w:spacing w:after="0" w:line="240" w:lineRule="auto"/>
              <w:rPr>
                <w:rFonts w:ascii="Arial" w:eastAsia="Times New Roman" w:hAnsi="Arial" w:cs="Arial"/>
                <w:b/>
                <w:bCs/>
                <w:color w:val="000000"/>
                <w:sz w:val="16"/>
                <w:szCs w:val="16"/>
                <w:lang w:eastAsia="en-GB"/>
              </w:rPr>
            </w:pPr>
            <w:r w:rsidRPr="00681F70">
              <w:rPr>
                <w:rFonts w:ascii="Arial" w:eastAsia="Times New Roman" w:hAnsi="Arial" w:cs="Arial"/>
                <w:b/>
                <w:bCs/>
                <w:color w:val="000000"/>
                <w:sz w:val="16"/>
                <w:szCs w:val="16"/>
                <w:lang w:eastAsia="en-GB"/>
              </w:rPr>
              <w:t>D 105</w:t>
            </w:r>
          </w:p>
        </w:tc>
        <w:tc>
          <w:tcPr>
            <w:tcW w:w="462" w:type="pct"/>
            <w:tcBorders>
              <w:top w:val="nil"/>
              <w:left w:val="single" w:sz="8" w:space="0" w:color="auto"/>
              <w:bottom w:val="nil"/>
              <w:right w:val="single" w:sz="8" w:space="0" w:color="auto"/>
            </w:tcBorders>
            <w:shd w:val="clear" w:color="auto" w:fill="F2F2F2"/>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D 200</w:t>
            </w:r>
          </w:p>
        </w:tc>
        <w:tc>
          <w:tcPr>
            <w:tcW w:w="461" w:type="pct"/>
            <w:tcBorders>
              <w:top w:val="nil"/>
              <w:left w:val="nil"/>
              <w:bottom w:val="nil"/>
              <w:right w:val="single" w:sz="8" w:space="0" w:color="auto"/>
            </w:tcBorders>
            <w:vAlign w:val="center"/>
            <w:hideMark/>
          </w:tcPr>
          <w:p w:rsidR="0047390F" w:rsidRPr="00681F70" w:rsidRDefault="00EE7244" w:rsidP="00786A76">
            <w:pPr>
              <w:spacing w:after="0" w:line="240" w:lineRule="auto"/>
              <w:rPr>
                <w:rFonts w:ascii="Arial" w:eastAsia="Times New Roman" w:hAnsi="Arial" w:cs="Arial"/>
                <w:b/>
                <w:bCs/>
                <w:color w:val="000000"/>
                <w:sz w:val="16"/>
                <w:szCs w:val="16"/>
                <w:lang w:eastAsia="en-GB"/>
              </w:rPr>
            </w:pPr>
            <w:r w:rsidRPr="00681F70">
              <w:rPr>
                <w:rFonts w:ascii="Arial" w:eastAsia="Times New Roman" w:hAnsi="Arial" w:cs="Arial"/>
                <w:b/>
                <w:bCs/>
                <w:color w:val="000000"/>
                <w:sz w:val="16"/>
                <w:szCs w:val="16"/>
                <w:lang w:eastAsia="en-GB"/>
              </w:rPr>
              <w:t>D 336</w:t>
            </w:r>
          </w:p>
        </w:tc>
      </w:tr>
      <w:tr w:rsidR="00C07FE1" w:rsidTr="0047390F">
        <w:trPr>
          <w:trHeight w:val="315"/>
        </w:trPr>
        <w:tc>
          <w:tcPr>
            <w:tcW w:w="1304" w:type="pct"/>
            <w:tcBorders>
              <w:top w:val="nil"/>
              <w:left w:val="single" w:sz="8" w:space="0" w:color="auto"/>
              <w:bottom w:val="single" w:sz="8" w:space="0" w:color="auto"/>
              <w:right w:val="single" w:sz="4" w:space="0" w:color="auto"/>
            </w:tcBorders>
            <w:vAlign w:val="center"/>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Source:  Preston's College, Future U, STEMFirst and UCLAN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390F" w:rsidRPr="00681F70" w:rsidRDefault="0047390F" w:rsidP="00786A76">
            <w:pPr>
              <w:spacing w:after="0" w:line="240" w:lineRule="auto"/>
              <w:rPr>
                <w:rFonts w:ascii="Arial" w:eastAsia="Times New Roman" w:hAnsi="Arial" w:cs="Arial"/>
                <w:color w:val="000000"/>
                <w:sz w:val="16"/>
                <w:szCs w:val="16"/>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390F" w:rsidRPr="00681F70" w:rsidRDefault="0047390F" w:rsidP="00786A76">
            <w:pPr>
              <w:spacing w:after="0" w:line="240" w:lineRule="auto"/>
              <w:rPr>
                <w:rFonts w:ascii="Arial" w:eastAsia="Times New Roman" w:hAnsi="Arial" w:cs="Arial"/>
                <w:color w:val="000000"/>
                <w:sz w:val="16"/>
                <w:szCs w:val="16"/>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390F" w:rsidRPr="00681F70" w:rsidRDefault="0047390F" w:rsidP="00786A76">
            <w:pPr>
              <w:spacing w:after="0" w:line="240" w:lineRule="auto"/>
              <w:rPr>
                <w:rFonts w:ascii="Arial" w:eastAsia="Times New Roman" w:hAnsi="Arial" w:cs="Arial"/>
                <w:color w:val="000000"/>
                <w:sz w:val="16"/>
                <w:szCs w:val="16"/>
                <w:lang w:eastAsia="en-GB"/>
              </w:rPr>
            </w:pPr>
          </w:p>
        </w:tc>
        <w:tc>
          <w:tcPr>
            <w:tcW w:w="462" w:type="pct"/>
            <w:tcBorders>
              <w:top w:val="nil"/>
              <w:left w:val="single" w:sz="4" w:space="0" w:color="auto"/>
              <w:bottom w:val="single" w:sz="8" w:space="0" w:color="auto"/>
              <w:right w:val="single" w:sz="8" w:space="0" w:color="auto"/>
            </w:tcBorders>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 </w:t>
            </w:r>
          </w:p>
        </w:tc>
        <w:tc>
          <w:tcPr>
            <w:tcW w:w="438" w:type="pct"/>
            <w:tcBorders>
              <w:top w:val="nil"/>
              <w:left w:val="nil"/>
              <w:bottom w:val="single" w:sz="8" w:space="0" w:color="auto"/>
              <w:right w:val="single" w:sz="8" w:space="0" w:color="auto"/>
            </w:tcBorders>
            <w:shd w:val="clear" w:color="auto" w:fill="F2F2F2"/>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 </w:t>
            </w:r>
          </w:p>
        </w:tc>
        <w:tc>
          <w:tcPr>
            <w:tcW w:w="410" w:type="pct"/>
            <w:tcBorders>
              <w:top w:val="nil"/>
              <w:left w:val="nil"/>
              <w:bottom w:val="single" w:sz="8" w:space="0" w:color="auto"/>
              <w:right w:val="nil"/>
            </w:tcBorders>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 </w:t>
            </w:r>
          </w:p>
        </w:tc>
        <w:tc>
          <w:tcPr>
            <w:tcW w:w="462" w:type="pct"/>
            <w:tcBorders>
              <w:top w:val="nil"/>
              <w:left w:val="single" w:sz="8" w:space="0" w:color="auto"/>
              <w:bottom w:val="single" w:sz="8" w:space="0" w:color="auto"/>
              <w:right w:val="single" w:sz="8" w:space="0" w:color="auto"/>
            </w:tcBorders>
            <w:shd w:val="clear" w:color="auto" w:fill="F2F2F2"/>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 </w:t>
            </w:r>
          </w:p>
        </w:tc>
        <w:tc>
          <w:tcPr>
            <w:tcW w:w="461" w:type="pct"/>
            <w:tcBorders>
              <w:top w:val="nil"/>
              <w:left w:val="nil"/>
              <w:bottom w:val="single" w:sz="8" w:space="0" w:color="auto"/>
              <w:right w:val="single" w:sz="8" w:space="0" w:color="auto"/>
            </w:tcBorders>
            <w:hideMark/>
          </w:tcPr>
          <w:p w:rsidR="0047390F" w:rsidRPr="00681F70" w:rsidRDefault="00EE7244" w:rsidP="00786A76">
            <w:pPr>
              <w:spacing w:after="0" w:line="240" w:lineRule="auto"/>
              <w:rPr>
                <w:rFonts w:ascii="Arial" w:eastAsia="Times New Roman" w:hAnsi="Arial" w:cs="Arial"/>
                <w:color w:val="000000"/>
                <w:sz w:val="16"/>
                <w:szCs w:val="16"/>
                <w:lang w:eastAsia="en-GB"/>
              </w:rPr>
            </w:pPr>
            <w:r w:rsidRPr="00681F70">
              <w:rPr>
                <w:rFonts w:ascii="Arial" w:eastAsia="Times New Roman" w:hAnsi="Arial" w:cs="Arial"/>
                <w:color w:val="000000"/>
                <w:sz w:val="16"/>
                <w:szCs w:val="16"/>
                <w:lang w:eastAsia="en-GB"/>
              </w:rPr>
              <w:t> </w:t>
            </w:r>
          </w:p>
        </w:tc>
      </w:tr>
    </w:tbl>
    <w:p w:rsidR="0047390F" w:rsidRPr="00681F70" w:rsidRDefault="0047390F" w:rsidP="00786A76">
      <w:pPr>
        <w:spacing w:after="0" w:line="240" w:lineRule="auto"/>
        <w:ind w:left="284" w:hanging="426"/>
        <w:rPr>
          <w:rFonts w:ascii="Arial" w:hAnsi="Arial" w:cs="Arial"/>
          <w:b/>
          <w:sz w:val="24"/>
          <w:szCs w:val="24"/>
        </w:rPr>
      </w:pPr>
    </w:p>
    <w:p w:rsidR="0047390F" w:rsidRPr="00681F70" w:rsidRDefault="00EE7244" w:rsidP="00786A76">
      <w:pPr>
        <w:spacing w:after="0" w:line="240" w:lineRule="auto"/>
        <w:rPr>
          <w:rFonts w:ascii="Arial" w:hAnsi="Arial" w:cs="Arial"/>
          <w:sz w:val="24"/>
          <w:szCs w:val="24"/>
        </w:rPr>
      </w:pPr>
      <w:r w:rsidRPr="00681F70">
        <w:rPr>
          <w:rFonts w:ascii="Arial" w:hAnsi="Arial" w:cs="Arial"/>
          <w:sz w:val="24"/>
          <w:szCs w:val="24"/>
        </w:rPr>
        <w:t>Details of supporting activities and a range of case studies are presented in the accompanying Sk</w:t>
      </w:r>
      <w:r w:rsidR="00786A76">
        <w:rPr>
          <w:rFonts w:ascii="Arial" w:hAnsi="Arial" w:cs="Arial"/>
          <w:sz w:val="24"/>
          <w:szCs w:val="24"/>
        </w:rPr>
        <w:t>ills and Employment dashboard (A</w:t>
      </w:r>
      <w:r w:rsidRPr="00681F70">
        <w:rPr>
          <w:rFonts w:ascii="Arial" w:hAnsi="Arial" w:cs="Arial"/>
          <w:sz w:val="24"/>
          <w:szCs w:val="24"/>
        </w:rPr>
        <w:t>ppendix 3).</w:t>
      </w:r>
    </w:p>
    <w:p w:rsidR="00786A76" w:rsidRDefault="00786A76" w:rsidP="00786A76">
      <w:pPr>
        <w:spacing w:after="0" w:line="240" w:lineRule="auto"/>
        <w:jc w:val="both"/>
        <w:rPr>
          <w:rFonts w:ascii="Arial" w:hAnsi="Arial" w:cs="Arial"/>
          <w:b/>
          <w:sz w:val="24"/>
          <w:szCs w:val="24"/>
        </w:rPr>
      </w:pPr>
    </w:p>
    <w:p w:rsidR="0047390F" w:rsidRPr="00681F70" w:rsidRDefault="00EE7244" w:rsidP="00786A76">
      <w:pPr>
        <w:spacing w:after="0" w:line="240" w:lineRule="auto"/>
        <w:jc w:val="both"/>
        <w:rPr>
          <w:rFonts w:ascii="Arial" w:hAnsi="Arial" w:cs="Arial"/>
          <w:b/>
          <w:sz w:val="24"/>
          <w:szCs w:val="24"/>
        </w:rPr>
      </w:pPr>
      <w:r w:rsidRPr="00681F70">
        <w:rPr>
          <w:rFonts w:ascii="Arial" w:hAnsi="Arial" w:cs="Arial"/>
          <w:b/>
          <w:sz w:val="24"/>
          <w:szCs w:val="24"/>
        </w:rPr>
        <w:t xml:space="preserve">9.0 Public and Private Sector Investment   </w:t>
      </w:r>
    </w:p>
    <w:p w:rsidR="0047390F" w:rsidRPr="00681F70" w:rsidRDefault="0047390F" w:rsidP="00786A76">
      <w:pPr>
        <w:spacing w:after="0" w:line="240" w:lineRule="auto"/>
        <w:jc w:val="both"/>
        <w:rPr>
          <w:rFonts w:ascii="Arial" w:hAnsi="Arial" w:cs="Arial"/>
          <w:sz w:val="24"/>
          <w:szCs w:val="24"/>
        </w:rPr>
      </w:pPr>
    </w:p>
    <w:p w:rsidR="0047390F" w:rsidRPr="00681F70" w:rsidRDefault="00EE7244" w:rsidP="00786A76">
      <w:pPr>
        <w:spacing w:after="0" w:line="240" w:lineRule="auto"/>
        <w:ind w:left="567" w:hanging="567"/>
        <w:jc w:val="both"/>
        <w:rPr>
          <w:rFonts w:ascii="Arial" w:hAnsi="Arial" w:cs="Arial"/>
          <w:sz w:val="24"/>
          <w:szCs w:val="24"/>
        </w:rPr>
      </w:pPr>
      <w:r w:rsidRPr="00681F70">
        <w:rPr>
          <w:rFonts w:ascii="Arial" w:hAnsi="Arial" w:cs="Arial"/>
          <w:sz w:val="24"/>
          <w:szCs w:val="24"/>
        </w:rPr>
        <w:t xml:space="preserve">9.1 </w:t>
      </w:r>
      <w:r>
        <w:rPr>
          <w:rFonts w:ascii="Arial" w:hAnsi="Arial" w:cs="Arial"/>
          <w:sz w:val="24"/>
          <w:szCs w:val="24"/>
        </w:rPr>
        <w:tab/>
      </w:r>
      <w:r w:rsidRPr="00681F70">
        <w:rPr>
          <w:rFonts w:ascii="Arial" w:hAnsi="Arial" w:cs="Arial"/>
          <w:sz w:val="24"/>
          <w:szCs w:val="24"/>
        </w:rPr>
        <w:t>Since April 2018</w:t>
      </w:r>
      <w:r>
        <w:rPr>
          <w:rFonts w:ascii="Arial" w:hAnsi="Arial" w:cs="Arial"/>
          <w:sz w:val="24"/>
          <w:szCs w:val="24"/>
        </w:rPr>
        <w:t>,</w:t>
      </w:r>
      <w:r w:rsidRPr="00681F70">
        <w:rPr>
          <w:rFonts w:ascii="Arial" w:hAnsi="Arial" w:cs="Arial"/>
          <w:sz w:val="24"/>
          <w:szCs w:val="24"/>
        </w:rPr>
        <w:t xml:space="preserve"> £9.5m of public and private sector investment has been invested in transport infrastructure which has resulted in the achievement of the infrastructure and the construction jobs referred to in table 4.  In addition £58m Pension fund investment has been made to date</w:t>
      </w:r>
      <w:r>
        <w:rPr>
          <w:rFonts w:ascii="Arial" w:hAnsi="Arial" w:cs="Arial"/>
          <w:sz w:val="24"/>
          <w:szCs w:val="24"/>
        </w:rPr>
        <w:t>.</w:t>
      </w:r>
    </w:p>
    <w:p w:rsidR="00786A76" w:rsidRDefault="00786A76" w:rsidP="00786A76">
      <w:pPr>
        <w:spacing w:after="0" w:line="240" w:lineRule="auto"/>
        <w:rPr>
          <w:rFonts w:ascii="Arial" w:hAnsi="Arial" w:cs="Arial"/>
          <w:sz w:val="24"/>
          <w:szCs w:val="24"/>
        </w:rPr>
      </w:pPr>
    </w:p>
    <w:p w:rsidR="00786A76" w:rsidRDefault="00786A76">
      <w:pPr>
        <w:rPr>
          <w:rFonts w:ascii="Arial" w:hAnsi="Arial" w:cs="Arial"/>
          <w:sz w:val="24"/>
          <w:szCs w:val="24"/>
          <w:highlight w:val="lightGray"/>
        </w:rPr>
      </w:pPr>
      <w:r>
        <w:rPr>
          <w:rFonts w:ascii="Arial" w:hAnsi="Arial" w:cs="Arial"/>
          <w:sz w:val="24"/>
          <w:szCs w:val="24"/>
          <w:highlight w:val="lightGray"/>
        </w:rPr>
        <w:br w:type="page"/>
      </w:r>
    </w:p>
    <w:p w:rsidR="00786A76" w:rsidRDefault="00786A76" w:rsidP="00786A76">
      <w:pPr>
        <w:spacing w:after="0" w:line="240" w:lineRule="auto"/>
        <w:rPr>
          <w:rFonts w:ascii="Arial" w:hAnsi="Arial" w:cs="Arial"/>
          <w:b/>
          <w:bCs/>
          <w:sz w:val="24"/>
          <w:szCs w:val="24"/>
          <w:u w:val="single"/>
        </w:rPr>
      </w:pPr>
    </w:p>
    <w:p w:rsidR="0047390F" w:rsidRPr="00681F70" w:rsidRDefault="00EE7244" w:rsidP="00786A76">
      <w:pPr>
        <w:spacing w:after="0" w:line="240" w:lineRule="auto"/>
        <w:rPr>
          <w:rFonts w:ascii="Arial" w:hAnsi="Arial" w:cs="Arial"/>
          <w:b/>
          <w:bCs/>
          <w:sz w:val="24"/>
          <w:szCs w:val="24"/>
          <w:u w:val="single"/>
        </w:rPr>
      </w:pPr>
      <w:r w:rsidRPr="00681F70">
        <w:rPr>
          <w:rFonts w:ascii="Arial" w:hAnsi="Arial" w:cs="Arial"/>
          <w:b/>
          <w:bCs/>
          <w:sz w:val="24"/>
          <w:szCs w:val="24"/>
          <w:u w:val="single"/>
        </w:rPr>
        <w:t>Table 7:  Public and private sector investment – core outputs</w:t>
      </w:r>
    </w:p>
    <w:p w:rsidR="0047390F" w:rsidRPr="00681F70" w:rsidRDefault="0047390F" w:rsidP="00786A76">
      <w:pPr>
        <w:spacing w:after="0" w:line="240" w:lineRule="auto"/>
        <w:jc w:val="both"/>
        <w:rPr>
          <w:rFonts w:ascii="Arial" w:hAnsi="Arial" w:cs="Arial"/>
          <w:b/>
          <w:bCs/>
          <w:color w:val="FF0000"/>
          <w:sz w:val="24"/>
          <w:szCs w:val="24"/>
        </w:rPr>
      </w:pPr>
    </w:p>
    <w:p w:rsidR="0047390F" w:rsidRPr="00681F70" w:rsidRDefault="0047390F" w:rsidP="00786A76">
      <w:pPr>
        <w:spacing w:after="0" w:line="240" w:lineRule="auto"/>
        <w:rPr>
          <w:color w:val="1F497D"/>
        </w:rPr>
      </w:pPr>
    </w:p>
    <w:tbl>
      <w:tblPr>
        <w:tblW w:w="5000" w:type="pct"/>
        <w:tblInd w:w="-8" w:type="dxa"/>
        <w:tblCellMar>
          <w:left w:w="0" w:type="dxa"/>
          <w:right w:w="0" w:type="dxa"/>
        </w:tblCellMar>
        <w:tblLook w:val="04A0" w:firstRow="1" w:lastRow="0" w:firstColumn="1" w:lastColumn="0" w:noHBand="0" w:noVBand="1"/>
      </w:tblPr>
      <w:tblGrid>
        <w:gridCol w:w="3500"/>
        <w:gridCol w:w="1834"/>
        <w:gridCol w:w="1397"/>
        <w:gridCol w:w="2275"/>
      </w:tblGrid>
      <w:tr w:rsidR="00C07FE1" w:rsidTr="0047390F">
        <w:trPr>
          <w:trHeight w:val="330"/>
        </w:trPr>
        <w:tc>
          <w:tcPr>
            <w:tcW w:w="4100" w:type="dxa"/>
            <w:vMerge w:val="restart"/>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47390F" w:rsidRPr="00681F70" w:rsidRDefault="00EE7244" w:rsidP="00786A76">
            <w:pPr>
              <w:spacing w:after="0" w:line="240" w:lineRule="auto"/>
              <w:jc w:val="center"/>
              <w:rPr>
                <w:rFonts w:ascii="Arial" w:hAnsi="Arial" w:cs="Arial"/>
                <w:b/>
                <w:bCs/>
                <w:color w:val="000000"/>
                <w:sz w:val="24"/>
                <w:szCs w:val="24"/>
                <w:lang w:eastAsia="en-GB"/>
              </w:rPr>
            </w:pPr>
            <w:r w:rsidRPr="00681F70">
              <w:rPr>
                <w:rFonts w:ascii="Arial" w:hAnsi="Arial" w:cs="Arial"/>
                <w:b/>
                <w:bCs/>
                <w:color w:val="000000"/>
                <w:sz w:val="24"/>
                <w:szCs w:val="24"/>
                <w:lang w:eastAsia="en-GB"/>
              </w:rPr>
              <w:t>Core outputs</w:t>
            </w:r>
          </w:p>
        </w:tc>
        <w:tc>
          <w:tcPr>
            <w:tcW w:w="1980"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47390F" w:rsidRPr="00681F70" w:rsidRDefault="00EE7244" w:rsidP="00786A76">
            <w:pPr>
              <w:spacing w:after="0" w:line="240" w:lineRule="auto"/>
              <w:jc w:val="center"/>
              <w:rPr>
                <w:rFonts w:ascii="Arial" w:hAnsi="Arial" w:cs="Arial"/>
                <w:b/>
                <w:bCs/>
                <w:color w:val="000000"/>
                <w:sz w:val="24"/>
                <w:szCs w:val="24"/>
                <w:lang w:eastAsia="en-GB"/>
              </w:rPr>
            </w:pPr>
            <w:r w:rsidRPr="00681F70">
              <w:rPr>
                <w:rFonts w:ascii="Arial" w:hAnsi="Arial" w:cs="Arial"/>
                <w:b/>
                <w:bCs/>
                <w:color w:val="000000"/>
                <w:sz w:val="24"/>
                <w:szCs w:val="24"/>
                <w:lang w:eastAsia="en-GB"/>
              </w:rPr>
              <w:t>18/19 Trajectory</w:t>
            </w:r>
          </w:p>
        </w:tc>
        <w:tc>
          <w:tcPr>
            <w:tcW w:w="1540"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47390F" w:rsidRPr="00681F70" w:rsidRDefault="00EE7244" w:rsidP="00786A76">
            <w:pPr>
              <w:spacing w:after="0" w:line="240" w:lineRule="auto"/>
              <w:jc w:val="center"/>
              <w:rPr>
                <w:rFonts w:ascii="Arial" w:hAnsi="Arial" w:cs="Arial"/>
                <w:b/>
                <w:bCs/>
                <w:color w:val="000000"/>
                <w:sz w:val="24"/>
                <w:szCs w:val="24"/>
                <w:lang w:eastAsia="en-GB"/>
              </w:rPr>
            </w:pPr>
            <w:r w:rsidRPr="00681F70">
              <w:rPr>
                <w:rFonts w:ascii="Arial" w:hAnsi="Arial" w:cs="Arial"/>
                <w:b/>
                <w:bCs/>
                <w:color w:val="000000"/>
                <w:sz w:val="24"/>
                <w:szCs w:val="24"/>
                <w:lang w:eastAsia="en-GB"/>
              </w:rPr>
              <w:t>18/19 YTD Actual</w:t>
            </w:r>
          </w:p>
        </w:tc>
        <w:tc>
          <w:tcPr>
            <w:tcW w:w="2520"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47390F" w:rsidRPr="00681F70" w:rsidRDefault="00EE7244" w:rsidP="00786A76">
            <w:pPr>
              <w:spacing w:after="0" w:line="240" w:lineRule="auto"/>
              <w:jc w:val="center"/>
              <w:rPr>
                <w:rFonts w:ascii="Arial" w:hAnsi="Arial" w:cs="Arial"/>
                <w:b/>
                <w:bCs/>
                <w:color w:val="000000"/>
                <w:sz w:val="24"/>
                <w:szCs w:val="24"/>
                <w:lang w:eastAsia="en-GB"/>
              </w:rPr>
            </w:pPr>
            <w:r w:rsidRPr="00681F70">
              <w:rPr>
                <w:rFonts w:ascii="Arial" w:hAnsi="Arial" w:cs="Arial"/>
                <w:b/>
                <w:bCs/>
                <w:color w:val="000000"/>
                <w:sz w:val="24"/>
                <w:szCs w:val="24"/>
                <w:lang w:eastAsia="en-GB"/>
              </w:rPr>
              <w:t>All Years Cumulative</w:t>
            </w:r>
          </w:p>
        </w:tc>
      </w:tr>
      <w:tr w:rsidR="00C07FE1" w:rsidTr="0047390F">
        <w:trPr>
          <w:trHeight w:val="330"/>
        </w:trPr>
        <w:tc>
          <w:tcPr>
            <w:tcW w:w="0" w:type="auto"/>
            <w:vMerge/>
            <w:tcBorders>
              <w:top w:val="single" w:sz="8" w:space="0" w:color="auto"/>
              <w:left w:val="single" w:sz="8" w:space="0" w:color="auto"/>
              <w:bottom w:val="nil"/>
              <w:right w:val="single" w:sz="8" w:space="0" w:color="auto"/>
            </w:tcBorders>
            <w:vAlign w:val="center"/>
            <w:hideMark/>
          </w:tcPr>
          <w:p w:rsidR="0047390F" w:rsidRPr="00681F70" w:rsidRDefault="0047390F" w:rsidP="00786A76">
            <w:pPr>
              <w:spacing w:after="0" w:line="240" w:lineRule="auto"/>
              <w:rPr>
                <w:rFonts w:ascii="Arial" w:hAnsi="Arial" w:cs="Arial"/>
                <w:b/>
                <w:bCs/>
                <w:color w:val="000000"/>
                <w:sz w:val="24"/>
                <w:szCs w:val="24"/>
                <w:lang w:eastAsia="en-GB"/>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390F" w:rsidRPr="00681F70" w:rsidRDefault="00EE7244" w:rsidP="00786A76">
            <w:pPr>
              <w:spacing w:after="0" w:line="240" w:lineRule="auto"/>
              <w:jc w:val="center"/>
              <w:rPr>
                <w:rFonts w:ascii="Arial" w:hAnsi="Arial" w:cs="Arial"/>
                <w:b/>
                <w:bCs/>
                <w:color w:val="000000"/>
                <w:sz w:val="24"/>
                <w:szCs w:val="24"/>
                <w:lang w:eastAsia="en-GB"/>
              </w:rPr>
            </w:pPr>
            <w:r w:rsidRPr="00681F70">
              <w:rPr>
                <w:rFonts w:ascii="Arial" w:hAnsi="Arial" w:cs="Arial"/>
                <w:b/>
                <w:bCs/>
                <w:color w:val="000000"/>
                <w:sz w:val="24"/>
                <w:szCs w:val="24"/>
                <w:lang w:eastAsia="en-GB"/>
              </w:rPr>
              <w:t>£m</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390F" w:rsidRPr="00681F70" w:rsidRDefault="00EE7244" w:rsidP="00786A76">
            <w:pPr>
              <w:spacing w:after="0" w:line="240" w:lineRule="auto"/>
              <w:jc w:val="center"/>
              <w:rPr>
                <w:rFonts w:ascii="Arial" w:hAnsi="Arial" w:cs="Arial"/>
                <w:b/>
                <w:bCs/>
                <w:color w:val="000000"/>
                <w:sz w:val="24"/>
                <w:szCs w:val="24"/>
                <w:lang w:eastAsia="en-GB"/>
              </w:rPr>
            </w:pPr>
            <w:r w:rsidRPr="00681F70">
              <w:rPr>
                <w:rFonts w:ascii="Arial" w:hAnsi="Arial" w:cs="Arial"/>
                <w:b/>
                <w:bCs/>
                <w:color w:val="000000"/>
                <w:sz w:val="24"/>
                <w:szCs w:val="24"/>
                <w:lang w:eastAsia="en-GB"/>
              </w:rPr>
              <w:t>£m</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390F" w:rsidRPr="00681F70" w:rsidRDefault="00EE7244" w:rsidP="00786A76">
            <w:pPr>
              <w:spacing w:after="0" w:line="240" w:lineRule="auto"/>
              <w:jc w:val="center"/>
              <w:rPr>
                <w:rFonts w:ascii="Arial" w:hAnsi="Arial" w:cs="Arial"/>
                <w:b/>
                <w:bCs/>
                <w:color w:val="000000"/>
                <w:sz w:val="24"/>
                <w:szCs w:val="24"/>
                <w:lang w:eastAsia="en-GB"/>
              </w:rPr>
            </w:pPr>
            <w:r w:rsidRPr="00681F70">
              <w:rPr>
                <w:rFonts w:ascii="Arial" w:hAnsi="Arial" w:cs="Arial"/>
                <w:b/>
                <w:bCs/>
                <w:color w:val="000000"/>
                <w:sz w:val="24"/>
                <w:szCs w:val="24"/>
                <w:lang w:eastAsia="en-GB"/>
              </w:rPr>
              <w:t>£m</w:t>
            </w:r>
          </w:p>
        </w:tc>
      </w:tr>
      <w:tr w:rsidR="00C07FE1" w:rsidTr="0047390F">
        <w:trPr>
          <w:trHeight w:val="330"/>
        </w:trPr>
        <w:tc>
          <w:tcPr>
            <w:tcW w:w="4100"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47390F" w:rsidRPr="00681F70" w:rsidRDefault="00EE7244" w:rsidP="00786A76">
            <w:pPr>
              <w:spacing w:after="0" w:line="240" w:lineRule="auto"/>
              <w:jc w:val="both"/>
              <w:rPr>
                <w:rFonts w:ascii="Arial" w:hAnsi="Arial" w:cs="Arial"/>
                <w:color w:val="000000"/>
                <w:sz w:val="24"/>
                <w:szCs w:val="24"/>
                <w:lang w:eastAsia="en-GB"/>
              </w:rPr>
            </w:pPr>
            <w:r w:rsidRPr="00681F70">
              <w:rPr>
                <w:rFonts w:ascii="Arial" w:hAnsi="Arial" w:cs="Arial"/>
                <w:color w:val="000000"/>
                <w:sz w:val="24"/>
                <w:szCs w:val="24"/>
                <w:lang w:eastAsia="en-GB"/>
              </w:rPr>
              <w:t xml:space="preserve">Public Sector Investment </w:t>
            </w:r>
          </w:p>
        </w:tc>
        <w:tc>
          <w:tcPr>
            <w:tcW w:w="1980"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47390F" w:rsidRPr="00681F70" w:rsidRDefault="00EE7244" w:rsidP="00786A76">
            <w:pPr>
              <w:spacing w:after="0" w:line="240" w:lineRule="auto"/>
              <w:jc w:val="center"/>
              <w:rPr>
                <w:rFonts w:ascii="Arial" w:hAnsi="Arial" w:cs="Arial"/>
                <w:color w:val="000000"/>
                <w:sz w:val="24"/>
                <w:szCs w:val="24"/>
                <w:lang w:eastAsia="en-GB"/>
              </w:rPr>
            </w:pPr>
            <w:r w:rsidRPr="00681F70">
              <w:rPr>
                <w:rFonts w:ascii="Arial" w:hAnsi="Arial" w:cs="Arial"/>
                <w:color w:val="000000"/>
                <w:sz w:val="24"/>
                <w:szCs w:val="24"/>
                <w:lang w:eastAsia="en-GB"/>
              </w:rPr>
              <w:t>40.881</w:t>
            </w:r>
          </w:p>
        </w:tc>
        <w:tc>
          <w:tcPr>
            <w:tcW w:w="1540"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47390F" w:rsidRPr="00681F70" w:rsidRDefault="00EE7244" w:rsidP="00786A76">
            <w:pPr>
              <w:spacing w:after="0" w:line="240" w:lineRule="auto"/>
              <w:jc w:val="center"/>
              <w:rPr>
                <w:rFonts w:ascii="Arial" w:hAnsi="Arial" w:cs="Arial"/>
                <w:color w:val="000000"/>
                <w:sz w:val="24"/>
                <w:szCs w:val="24"/>
                <w:lang w:eastAsia="en-GB"/>
              </w:rPr>
            </w:pPr>
            <w:r w:rsidRPr="00681F70">
              <w:rPr>
                <w:rFonts w:ascii="Arial" w:hAnsi="Arial" w:cs="Arial"/>
                <w:color w:val="000000"/>
                <w:sz w:val="24"/>
                <w:szCs w:val="24"/>
                <w:lang w:eastAsia="en-GB"/>
              </w:rPr>
              <w:t>9.372</w:t>
            </w:r>
          </w:p>
        </w:tc>
        <w:tc>
          <w:tcPr>
            <w:tcW w:w="2520"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47390F" w:rsidRPr="00681F70" w:rsidRDefault="00EE7244" w:rsidP="00786A76">
            <w:pPr>
              <w:spacing w:after="0" w:line="240" w:lineRule="auto"/>
              <w:jc w:val="center"/>
              <w:rPr>
                <w:rFonts w:ascii="Arial" w:hAnsi="Arial" w:cs="Arial"/>
                <w:color w:val="000000"/>
                <w:sz w:val="24"/>
                <w:szCs w:val="24"/>
                <w:lang w:eastAsia="en-GB"/>
              </w:rPr>
            </w:pPr>
            <w:r w:rsidRPr="00681F70">
              <w:rPr>
                <w:rFonts w:ascii="Arial" w:hAnsi="Arial" w:cs="Arial"/>
                <w:color w:val="000000"/>
                <w:sz w:val="24"/>
                <w:szCs w:val="24"/>
                <w:lang w:eastAsia="en-GB"/>
              </w:rPr>
              <w:t>112.393</w:t>
            </w:r>
          </w:p>
        </w:tc>
      </w:tr>
      <w:tr w:rsidR="00C07FE1" w:rsidTr="0047390F">
        <w:trPr>
          <w:trHeight w:val="330"/>
        </w:trPr>
        <w:tc>
          <w:tcPr>
            <w:tcW w:w="41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390F" w:rsidRPr="00681F70" w:rsidRDefault="00EE7244" w:rsidP="00786A76">
            <w:pPr>
              <w:spacing w:after="0" w:line="240" w:lineRule="auto"/>
              <w:jc w:val="both"/>
              <w:rPr>
                <w:rFonts w:ascii="Arial" w:hAnsi="Arial" w:cs="Arial"/>
                <w:color w:val="000000"/>
                <w:sz w:val="24"/>
                <w:szCs w:val="24"/>
                <w:lang w:eastAsia="en-GB"/>
              </w:rPr>
            </w:pPr>
            <w:r w:rsidRPr="00681F70">
              <w:rPr>
                <w:rFonts w:ascii="Arial" w:hAnsi="Arial" w:cs="Arial"/>
                <w:color w:val="000000"/>
                <w:sz w:val="24"/>
                <w:szCs w:val="24"/>
                <w:lang w:eastAsia="en-GB"/>
              </w:rPr>
              <w:t>(to support Infrastructure programme)</w:t>
            </w:r>
          </w:p>
        </w:tc>
        <w:tc>
          <w:tcPr>
            <w:tcW w:w="0" w:type="auto"/>
            <w:vMerge/>
            <w:tcBorders>
              <w:top w:val="nil"/>
              <w:left w:val="nil"/>
              <w:bottom w:val="single" w:sz="8" w:space="0" w:color="000000"/>
              <w:right w:val="single" w:sz="8" w:space="0" w:color="auto"/>
            </w:tcBorders>
            <w:vAlign w:val="center"/>
            <w:hideMark/>
          </w:tcPr>
          <w:p w:rsidR="0047390F" w:rsidRPr="00681F70" w:rsidRDefault="0047390F" w:rsidP="00786A76">
            <w:pPr>
              <w:spacing w:after="0" w:line="240" w:lineRule="auto"/>
              <w:rPr>
                <w:rFonts w:ascii="Arial" w:hAnsi="Arial" w:cs="Arial"/>
                <w:color w:val="000000"/>
                <w:sz w:val="24"/>
                <w:szCs w:val="24"/>
                <w:lang w:eastAsia="en-GB"/>
              </w:rPr>
            </w:pPr>
          </w:p>
        </w:tc>
        <w:tc>
          <w:tcPr>
            <w:tcW w:w="0" w:type="auto"/>
            <w:vMerge/>
            <w:tcBorders>
              <w:top w:val="nil"/>
              <w:left w:val="nil"/>
              <w:bottom w:val="single" w:sz="8" w:space="0" w:color="000000"/>
              <w:right w:val="single" w:sz="8" w:space="0" w:color="auto"/>
            </w:tcBorders>
            <w:vAlign w:val="center"/>
            <w:hideMark/>
          </w:tcPr>
          <w:p w:rsidR="0047390F" w:rsidRPr="00681F70" w:rsidRDefault="0047390F" w:rsidP="00786A76">
            <w:pPr>
              <w:spacing w:after="0" w:line="240" w:lineRule="auto"/>
              <w:rPr>
                <w:rFonts w:ascii="Arial" w:hAnsi="Arial" w:cs="Arial"/>
                <w:color w:val="000000"/>
                <w:sz w:val="24"/>
                <w:szCs w:val="24"/>
                <w:lang w:eastAsia="en-GB"/>
              </w:rPr>
            </w:pPr>
          </w:p>
        </w:tc>
        <w:tc>
          <w:tcPr>
            <w:tcW w:w="0" w:type="auto"/>
            <w:vMerge/>
            <w:tcBorders>
              <w:top w:val="nil"/>
              <w:left w:val="nil"/>
              <w:bottom w:val="single" w:sz="8" w:space="0" w:color="000000"/>
              <w:right w:val="single" w:sz="8" w:space="0" w:color="auto"/>
            </w:tcBorders>
            <w:vAlign w:val="center"/>
            <w:hideMark/>
          </w:tcPr>
          <w:p w:rsidR="0047390F" w:rsidRPr="00681F70" w:rsidRDefault="0047390F" w:rsidP="00786A76">
            <w:pPr>
              <w:spacing w:after="0" w:line="240" w:lineRule="auto"/>
              <w:rPr>
                <w:rFonts w:ascii="Arial" w:hAnsi="Arial" w:cs="Arial"/>
                <w:color w:val="000000"/>
                <w:sz w:val="24"/>
                <w:szCs w:val="24"/>
                <w:lang w:eastAsia="en-GB"/>
              </w:rPr>
            </w:pPr>
          </w:p>
        </w:tc>
      </w:tr>
      <w:tr w:rsidR="00C07FE1" w:rsidTr="0047390F">
        <w:trPr>
          <w:trHeight w:val="330"/>
        </w:trPr>
        <w:tc>
          <w:tcPr>
            <w:tcW w:w="4100"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47390F" w:rsidRPr="00681F70" w:rsidRDefault="00EE7244" w:rsidP="00786A76">
            <w:pPr>
              <w:spacing w:after="0" w:line="240" w:lineRule="auto"/>
              <w:jc w:val="both"/>
              <w:rPr>
                <w:rFonts w:ascii="Arial" w:hAnsi="Arial" w:cs="Arial"/>
                <w:color w:val="000000"/>
                <w:sz w:val="24"/>
                <w:szCs w:val="24"/>
                <w:lang w:eastAsia="en-GB"/>
              </w:rPr>
            </w:pPr>
            <w:r w:rsidRPr="00681F70">
              <w:rPr>
                <w:rFonts w:ascii="Arial" w:hAnsi="Arial" w:cs="Arial"/>
                <w:color w:val="000000"/>
                <w:sz w:val="24"/>
                <w:szCs w:val="24"/>
                <w:lang w:eastAsia="en-GB"/>
              </w:rPr>
              <w:t xml:space="preserve">Private Sector Investment  </w:t>
            </w:r>
          </w:p>
        </w:tc>
        <w:tc>
          <w:tcPr>
            <w:tcW w:w="1980"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47390F" w:rsidRPr="00681F70" w:rsidRDefault="00EE7244" w:rsidP="00786A76">
            <w:pPr>
              <w:spacing w:after="0" w:line="240" w:lineRule="auto"/>
              <w:jc w:val="center"/>
              <w:rPr>
                <w:rFonts w:ascii="Arial" w:hAnsi="Arial" w:cs="Arial"/>
                <w:color w:val="000000"/>
                <w:sz w:val="24"/>
                <w:szCs w:val="24"/>
                <w:lang w:eastAsia="en-GB"/>
              </w:rPr>
            </w:pPr>
            <w:r w:rsidRPr="00681F70">
              <w:rPr>
                <w:rFonts w:ascii="Arial" w:hAnsi="Arial" w:cs="Arial"/>
                <w:color w:val="000000"/>
                <w:sz w:val="24"/>
                <w:szCs w:val="24"/>
                <w:lang w:eastAsia="en-GB"/>
              </w:rPr>
              <w:t>12.801</w:t>
            </w:r>
          </w:p>
        </w:tc>
        <w:tc>
          <w:tcPr>
            <w:tcW w:w="1540"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47390F" w:rsidRPr="00681F70" w:rsidRDefault="00EE7244" w:rsidP="00786A76">
            <w:pPr>
              <w:spacing w:after="0" w:line="240" w:lineRule="auto"/>
              <w:jc w:val="center"/>
              <w:rPr>
                <w:rFonts w:ascii="Arial" w:hAnsi="Arial" w:cs="Arial"/>
                <w:color w:val="000000"/>
                <w:sz w:val="24"/>
                <w:szCs w:val="24"/>
                <w:lang w:eastAsia="en-GB"/>
              </w:rPr>
            </w:pPr>
            <w:r w:rsidRPr="00681F70">
              <w:rPr>
                <w:rFonts w:ascii="Arial" w:hAnsi="Arial" w:cs="Arial"/>
                <w:color w:val="000000"/>
                <w:sz w:val="24"/>
                <w:szCs w:val="24"/>
                <w:lang w:eastAsia="en-GB"/>
              </w:rPr>
              <w:t>0.248</w:t>
            </w:r>
          </w:p>
        </w:tc>
        <w:tc>
          <w:tcPr>
            <w:tcW w:w="2520"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47390F" w:rsidRPr="00681F70" w:rsidRDefault="00EE7244" w:rsidP="00786A76">
            <w:pPr>
              <w:spacing w:after="0" w:line="240" w:lineRule="auto"/>
              <w:jc w:val="center"/>
              <w:rPr>
                <w:rFonts w:ascii="Arial" w:hAnsi="Arial" w:cs="Arial"/>
                <w:color w:val="000000"/>
                <w:sz w:val="24"/>
                <w:szCs w:val="24"/>
                <w:lang w:eastAsia="en-GB"/>
              </w:rPr>
            </w:pPr>
            <w:r w:rsidRPr="00681F70">
              <w:rPr>
                <w:rFonts w:ascii="Arial" w:hAnsi="Arial" w:cs="Arial"/>
                <w:color w:val="000000"/>
                <w:sz w:val="24"/>
                <w:szCs w:val="24"/>
                <w:lang w:eastAsia="en-GB"/>
              </w:rPr>
              <w:t>20.893</w:t>
            </w:r>
          </w:p>
        </w:tc>
      </w:tr>
      <w:tr w:rsidR="00C07FE1" w:rsidTr="0047390F">
        <w:trPr>
          <w:trHeight w:val="330"/>
        </w:trPr>
        <w:tc>
          <w:tcPr>
            <w:tcW w:w="41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390F" w:rsidRPr="00681F70" w:rsidRDefault="00EE7244" w:rsidP="00786A76">
            <w:pPr>
              <w:spacing w:after="0" w:line="240" w:lineRule="auto"/>
              <w:jc w:val="both"/>
              <w:rPr>
                <w:rFonts w:ascii="Arial" w:hAnsi="Arial" w:cs="Arial"/>
                <w:color w:val="000000"/>
                <w:sz w:val="24"/>
                <w:szCs w:val="24"/>
                <w:lang w:eastAsia="en-GB"/>
              </w:rPr>
            </w:pPr>
            <w:r w:rsidRPr="00681F70">
              <w:rPr>
                <w:rFonts w:ascii="Arial" w:hAnsi="Arial" w:cs="Arial"/>
                <w:color w:val="000000"/>
                <w:sz w:val="24"/>
                <w:szCs w:val="24"/>
                <w:lang w:eastAsia="en-GB"/>
              </w:rPr>
              <w:t xml:space="preserve">(to support infrastructure programme) </w:t>
            </w:r>
          </w:p>
        </w:tc>
        <w:tc>
          <w:tcPr>
            <w:tcW w:w="0" w:type="auto"/>
            <w:vMerge/>
            <w:tcBorders>
              <w:top w:val="nil"/>
              <w:left w:val="nil"/>
              <w:bottom w:val="single" w:sz="8" w:space="0" w:color="000000"/>
              <w:right w:val="single" w:sz="8" w:space="0" w:color="auto"/>
            </w:tcBorders>
            <w:vAlign w:val="center"/>
            <w:hideMark/>
          </w:tcPr>
          <w:p w:rsidR="0047390F" w:rsidRPr="00681F70" w:rsidRDefault="0047390F" w:rsidP="00786A76">
            <w:pPr>
              <w:spacing w:after="0" w:line="240" w:lineRule="auto"/>
              <w:rPr>
                <w:rFonts w:ascii="Arial" w:hAnsi="Arial" w:cs="Arial"/>
                <w:color w:val="000000"/>
                <w:sz w:val="24"/>
                <w:szCs w:val="24"/>
                <w:lang w:eastAsia="en-GB"/>
              </w:rPr>
            </w:pPr>
          </w:p>
        </w:tc>
        <w:tc>
          <w:tcPr>
            <w:tcW w:w="0" w:type="auto"/>
            <w:vMerge/>
            <w:tcBorders>
              <w:top w:val="nil"/>
              <w:left w:val="nil"/>
              <w:bottom w:val="single" w:sz="8" w:space="0" w:color="000000"/>
              <w:right w:val="single" w:sz="8" w:space="0" w:color="auto"/>
            </w:tcBorders>
            <w:vAlign w:val="center"/>
            <w:hideMark/>
          </w:tcPr>
          <w:p w:rsidR="0047390F" w:rsidRPr="00681F70" w:rsidRDefault="0047390F" w:rsidP="00786A76">
            <w:pPr>
              <w:spacing w:after="0" w:line="240" w:lineRule="auto"/>
              <w:rPr>
                <w:rFonts w:ascii="Arial" w:hAnsi="Arial" w:cs="Arial"/>
                <w:color w:val="000000"/>
                <w:sz w:val="24"/>
                <w:szCs w:val="24"/>
                <w:lang w:eastAsia="en-GB"/>
              </w:rPr>
            </w:pPr>
          </w:p>
        </w:tc>
        <w:tc>
          <w:tcPr>
            <w:tcW w:w="0" w:type="auto"/>
            <w:vMerge/>
            <w:tcBorders>
              <w:top w:val="nil"/>
              <w:left w:val="nil"/>
              <w:bottom w:val="single" w:sz="8" w:space="0" w:color="000000"/>
              <w:right w:val="single" w:sz="8" w:space="0" w:color="auto"/>
            </w:tcBorders>
            <w:vAlign w:val="center"/>
            <w:hideMark/>
          </w:tcPr>
          <w:p w:rsidR="0047390F" w:rsidRPr="00681F70" w:rsidRDefault="0047390F" w:rsidP="00786A76">
            <w:pPr>
              <w:spacing w:after="0" w:line="240" w:lineRule="auto"/>
              <w:rPr>
                <w:rFonts w:ascii="Arial" w:hAnsi="Arial" w:cs="Arial"/>
                <w:color w:val="000000"/>
                <w:sz w:val="24"/>
                <w:szCs w:val="24"/>
                <w:lang w:eastAsia="en-GB"/>
              </w:rPr>
            </w:pPr>
          </w:p>
        </w:tc>
      </w:tr>
      <w:tr w:rsidR="00C07FE1" w:rsidTr="0047390F">
        <w:trPr>
          <w:trHeight w:val="330"/>
        </w:trPr>
        <w:tc>
          <w:tcPr>
            <w:tcW w:w="41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390F" w:rsidRPr="00681F70" w:rsidRDefault="00EE7244" w:rsidP="00786A76">
            <w:pPr>
              <w:spacing w:after="0" w:line="240" w:lineRule="auto"/>
              <w:jc w:val="both"/>
              <w:rPr>
                <w:rFonts w:ascii="Arial" w:hAnsi="Arial" w:cs="Arial"/>
                <w:color w:val="000000"/>
                <w:lang w:eastAsia="en-GB"/>
              </w:rPr>
            </w:pPr>
            <w:r w:rsidRPr="00681F70">
              <w:rPr>
                <w:rFonts w:ascii="Arial" w:hAnsi="Arial" w:cs="Arial"/>
                <w:color w:val="000000"/>
                <w:lang w:eastAsia="en-GB"/>
              </w:rPr>
              <w:t>Pension Fund Investment</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390F" w:rsidRPr="00681F70" w:rsidRDefault="00EE7244" w:rsidP="00786A76">
            <w:pPr>
              <w:spacing w:after="0" w:line="240" w:lineRule="auto"/>
              <w:jc w:val="right"/>
              <w:rPr>
                <w:rFonts w:ascii="Arial" w:hAnsi="Arial" w:cs="Arial"/>
                <w:color w:val="000000"/>
                <w:sz w:val="24"/>
                <w:szCs w:val="24"/>
                <w:lang w:eastAsia="en-GB"/>
              </w:rPr>
            </w:pPr>
            <w:r w:rsidRPr="00681F70">
              <w:rPr>
                <w:rFonts w:ascii="Arial" w:hAnsi="Arial" w:cs="Arial"/>
                <w:color w:val="000000"/>
                <w:sz w:val="24"/>
                <w:szCs w:val="24"/>
                <w:lang w:eastAsia="en-GB"/>
              </w:rPr>
              <w:t>-</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390F" w:rsidRPr="00681F70" w:rsidRDefault="00EE7244" w:rsidP="00786A76">
            <w:pPr>
              <w:spacing w:after="0" w:line="240" w:lineRule="auto"/>
              <w:jc w:val="right"/>
              <w:rPr>
                <w:rFonts w:ascii="Arial" w:hAnsi="Arial" w:cs="Arial"/>
                <w:color w:val="000000"/>
                <w:sz w:val="24"/>
                <w:szCs w:val="24"/>
                <w:lang w:eastAsia="en-GB"/>
              </w:rPr>
            </w:pPr>
            <w:r w:rsidRPr="00681F70">
              <w:rPr>
                <w:rFonts w:ascii="Arial" w:hAnsi="Arial" w:cs="Arial"/>
                <w:color w:val="000000"/>
                <w:sz w:val="24"/>
                <w:szCs w:val="24"/>
                <w:lang w:eastAsia="en-GB"/>
              </w:rPr>
              <w:t>-</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390F" w:rsidRPr="00681F70" w:rsidRDefault="00EE7244" w:rsidP="00786A76">
            <w:pPr>
              <w:spacing w:after="0" w:line="240" w:lineRule="auto"/>
              <w:jc w:val="center"/>
              <w:rPr>
                <w:rFonts w:ascii="Arial" w:hAnsi="Arial" w:cs="Arial"/>
                <w:color w:val="000000"/>
                <w:lang w:eastAsia="en-GB"/>
              </w:rPr>
            </w:pPr>
            <w:r w:rsidRPr="00681F70">
              <w:rPr>
                <w:rFonts w:ascii="Arial" w:hAnsi="Arial" w:cs="Arial"/>
                <w:color w:val="000000"/>
                <w:lang w:eastAsia="en-GB"/>
              </w:rPr>
              <w:t>58.000</w:t>
            </w:r>
          </w:p>
        </w:tc>
      </w:tr>
    </w:tbl>
    <w:p w:rsidR="0047390F" w:rsidRPr="00681F70" w:rsidRDefault="0047390F" w:rsidP="00786A76">
      <w:pPr>
        <w:spacing w:after="0" w:line="240" w:lineRule="auto"/>
        <w:ind w:hanging="426"/>
        <w:jc w:val="both"/>
        <w:rPr>
          <w:rFonts w:ascii="Arial" w:hAnsi="Arial" w:cs="Arial"/>
          <w:b/>
          <w:sz w:val="24"/>
          <w:szCs w:val="24"/>
        </w:rPr>
      </w:pPr>
    </w:p>
    <w:p w:rsidR="0047390F" w:rsidRPr="00681F70" w:rsidRDefault="00EE7244" w:rsidP="00786A76">
      <w:pPr>
        <w:spacing w:after="0" w:line="240" w:lineRule="auto"/>
        <w:ind w:hanging="426"/>
        <w:jc w:val="both"/>
        <w:rPr>
          <w:rFonts w:ascii="Arial" w:hAnsi="Arial" w:cs="Arial"/>
          <w:b/>
          <w:sz w:val="24"/>
          <w:szCs w:val="24"/>
        </w:rPr>
      </w:pPr>
      <w:r w:rsidRPr="00681F70">
        <w:rPr>
          <w:rFonts w:ascii="Arial" w:hAnsi="Arial" w:cs="Arial"/>
          <w:b/>
          <w:sz w:val="24"/>
          <w:szCs w:val="24"/>
        </w:rPr>
        <w:t>10.0 Performance on key strategic infrastructure schemes</w:t>
      </w:r>
    </w:p>
    <w:p w:rsidR="0047390F" w:rsidRPr="00681F70" w:rsidRDefault="0047390F" w:rsidP="00786A76">
      <w:pPr>
        <w:spacing w:after="0" w:line="240" w:lineRule="auto"/>
        <w:ind w:hanging="426"/>
        <w:jc w:val="both"/>
        <w:rPr>
          <w:rFonts w:ascii="Arial" w:hAnsi="Arial" w:cs="Arial"/>
          <w:b/>
          <w:sz w:val="24"/>
          <w:szCs w:val="24"/>
        </w:rPr>
      </w:pPr>
    </w:p>
    <w:p w:rsidR="0047390F" w:rsidRPr="00560AC8" w:rsidRDefault="00EE7244" w:rsidP="00786A76">
      <w:pPr>
        <w:pStyle w:val="ListParagraph"/>
        <w:numPr>
          <w:ilvl w:val="0"/>
          <w:numId w:val="9"/>
        </w:numPr>
        <w:spacing w:after="0" w:line="240" w:lineRule="auto"/>
        <w:jc w:val="both"/>
        <w:rPr>
          <w:rFonts w:ascii="Arial" w:hAnsi="Arial" w:cs="Arial"/>
          <w:sz w:val="24"/>
          <w:szCs w:val="24"/>
        </w:rPr>
      </w:pPr>
      <w:r w:rsidRPr="00560AC8">
        <w:rPr>
          <w:rFonts w:ascii="Arial" w:hAnsi="Arial" w:cs="Arial"/>
          <w:b/>
          <w:sz w:val="24"/>
          <w:szCs w:val="24"/>
        </w:rPr>
        <w:t xml:space="preserve">Preston Western Distributor – </w:t>
      </w:r>
      <w:r w:rsidRPr="00560AC8">
        <w:rPr>
          <w:rFonts w:ascii="Arial" w:hAnsi="Arial" w:cs="Arial"/>
          <w:sz w:val="24"/>
          <w:szCs w:val="24"/>
        </w:rPr>
        <w:t>Work is progressing on the detailed design which in turn will determine a more accurate cost.  Planning permission</w:t>
      </w:r>
      <w:r>
        <w:rPr>
          <w:rFonts w:ascii="Arial" w:hAnsi="Arial" w:cs="Arial"/>
          <w:sz w:val="24"/>
          <w:szCs w:val="24"/>
        </w:rPr>
        <w:t xml:space="preserve"> was granted</w:t>
      </w:r>
      <w:r w:rsidRPr="00560AC8">
        <w:rPr>
          <w:rFonts w:ascii="Arial" w:hAnsi="Arial" w:cs="Arial"/>
          <w:sz w:val="24"/>
          <w:szCs w:val="24"/>
        </w:rPr>
        <w:t xml:space="preserve"> and </w:t>
      </w:r>
      <w:r>
        <w:rPr>
          <w:rFonts w:ascii="Arial" w:hAnsi="Arial" w:cs="Arial"/>
          <w:sz w:val="24"/>
          <w:szCs w:val="24"/>
        </w:rPr>
        <w:t xml:space="preserve"> the </w:t>
      </w:r>
      <w:r w:rsidRPr="00560AC8">
        <w:rPr>
          <w:rFonts w:ascii="Arial" w:hAnsi="Arial" w:cs="Arial"/>
          <w:sz w:val="24"/>
          <w:szCs w:val="24"/>
        </w:rPr>
        <w:t>public inquiry</w:t>
      </w:r>
      <w:r>
        <w:rPr>
          <w:rFonts w:ascii="Arial" w:hAnsi="Arial" w:cs="Arial"/>
          <w:sz w:val="24"/>
          <w:szCs w:val="24"/>
        </w:rPr>
        <w:t xml:space="preserve"> was held</w:t>
      </w:r>
      <w:r w:rsidRPr="00560AC8">
        <w:rPr>
          <w:rFonts w:ascii="Arial" w:hAnsi="Arial" w:cs="Arial"/>
          <w:sz w:val="24"/>
          <w:szCs w:val="24"/>
        </w:rPr>
        <w:t xml:space="preserve"> in November.</w:t>
      </w:r>
    </w:p>
    <w:p w:rsidR="0047390F" w:rsidRPr="00560AC8" w:rsidRDefault="00EE7244" w:rsidP="00786A76">
      <w:pPr>
        <w:pStyle w:val="ListParagraph"/>
        <w:numPr>
          <w:ilvl w:val="0"/>
          <w:numId w:val="9"/>
        </w:numPr>
        <w:spacing w:after="0" w:line="240" w:lineRule="auto"/>
        <w:jc w:val="both"/>
        <w:rPr>
          <w:rFonts w:ascii="Arial" w:hAnsi="Arial" w:cs="Arial"/>
          <w:sz w:val="24"/>
          <w:szCs w:val="24"/>
        </w:rPr>
      </w:pPr>
      <w:r w:rsidRPr="00560AC8">
        <w:rPr>
          <w:rFonts w:ascii="Arial" w:hAnsi="Arial" w:cs="Arial"/>
          <w:b/>
          <w:sz w:val="24"/>
          <w:szCs w:val="24"/>
        </w:rPr>
        <w:t xml:space="preserve">Broughton corridor – </w:t>
      </w:r>
      <w:r w:rsidRPr="00560AC8">
        <w:rPr>
          <w:rFonts w:ascii="Arial" w:hAnsi="Arial" w:cs="Arial"/>
          <w:sz w:val="24"/>
          <w:szCs w:val="24"/>
        </w:rPr>
        <w:t>start</w:t>
      </w:r>
      <w:r>
        <w:rPr>
          <w:rFonts w:ascii="Arial" w:hAnsi="Arial" w:cs="Arial"/>
          <w:sz w:val="24"/>
          <w:szCs w:val="24"/>
        </w:rPr>
        <w:t>ed</w:t>
      </w:r>
      <w:r w:rsidRPr="00560AC8">
        <w:rPr>
          <w:rFonts w:ascii="Arial" w:hAnsi="Arial" w:cs="Arial"/>
          <w:sz w:val="24"/>
          <w:szCs w:val="24"/>
        </w:rPr>
        <w:t xml:space="preserve"> on site in July 2018 and</w:t>
      </w:r>
      <w:r>
        <w:rPr>
          <w:rFonts w:ascii="Arial" w:hAnsi="Arial" w:cs="Arial"/>
          <w:sz w:val="24"/>
          <w:szCs w:val="24"/>
        </w:rPr>
        <w:t xml:space="preserve"> the</w:t>
      </w:r>
      <w:r w:rsidRPr="00560AC8">
        <w:rPr>
          <w:rFonts w:ascii="Arial" w:hAnsi="Arial" w:cs="Arial"/>
          <w:sz w:val="24"/>
          <w:szCs w:val="24"/>
        </w:rPr>
        <w:t xml:space="preserve"> scheme is progressing well.  A new parallel crossing has been installed, the first such crossing in Lancashire and has received positive media coverage.</w:t>
      </w:r>
    </w:p>
    <w:p w:rsidR="0047390F" w:rsidRPr="00560AC8" w:rsidRDefault="00EE7244" w:rsidP="00786A76">
      <w:pPr>
        <w:pStyle w:val="ListParagraph"/>
        <w:numPr>
          <w:ilvl w:val="0"/>
          <w:numId w:val="9"/>
        </w:numPr>
        <w:spacing w:after="0" w:line="240" w:lineRule="auto"/>
        <w:jc w:val="both"/>
        <w:rPr>
          <w:rFonts w:ascii="Arial" w:hAnsi="Arial" w:cs="Arial"/>
          <w:sz w:val="24"/>
          <w:szCs w:val="24"/>
        </w:rPr>
      </w:pPr>
      <w:r w:rsidRPr="00560AC8">
        <w:rPr>
          <w:rFonts w:ascii="Arial" w:hAnsi="Arial" w:cs="Arial"/>
          <w:b/>
          <w:sz w:val="24"/>
          <w:szCs w:val="24"/>
        </w:rPr>
        <w:t>Penwortham bypass</w:t>
      </w:r>
      <w:r w:rsidRPr="00560AC8">
        <w:rPr>
          <w:rFonts w:ascii="Arial" w:hAnsi="Arial" w:cs="Arial"/>
          <w:sz w:val="24"/>
          <w:szCs w:val="24"/>
        </w:rPr>
        <w:t xml:space="preserve"> – currently onsite and work is progressing well and on programme for completion early in 2020.</w:t>
      </w:r>
    </w:p>
    <w:p w:rsidR="0047390F" w:rsidRPr="00560AC8" w:rsidRDefault="00EE7244" w:rsidP="00786A76">
      <w:pPr>
        <w:pStyle w:val="ListParagraph"/>
        <w:numPr>
          <w:ilvl w:val="0"/>
          <w:numId w:val="9"/>
        </w:numPr>
        <w:spacing w:after="0" w:line="240" w:lineRule="auto"/>
        <w:jc w:val="both"/>
        <w:rPr>
          <w:rFonts w:ascii="Arial" w:hAnsi="Arial" w:cs="Arial"/>
          <w:b/>
          <w:sz w:val="24"/>
          <w:szCs w:val="24"/>
        </w:rPr>
      </w:pPr>
      <w:r w:rsidRPr="00560AC8">
        <w:rPr>
          <w:rFonts w:ascii="Arial" w:hAnsi="Arial" w:cs="Arial"/>
          <w:b/>
          <w:sz w:val="24"/>
          <w:szCs w:val="24"/>
        </w:rPr>
        <w:t xml:space="preserve">Hutton/Higher Penwortham/city Centre corridor – </w:t>
      </w:r>
      <w:r w:rsidRPr="00560AC8">
        <w:rPr>
          <w:rFonts w:ascii="Arial" w:hAnsi="Arial" w:cs="Arial"/>
          <w:sz w:val="24"/>
          <w:szCs w:val="24"/>
        </w:rPr>
        <w:t xml:space="preserve">a series of public consultation events </w:t>
      </w:r>
      <w:r>
        <w:rPr>
          <w:rFonts w:ascii="Arial" w:hAnsi="Arial" w:cs="Arial"/>
          <w:sz w:val="24"/>
          <w:szCs w:val="24"/>
        </w:rPr>
        <w:t>took</w:t>
      </w:r>
      <w:r w:rsidRPr="00560AC8">
        <w:rPr>
          <w:rFonts w:ascii="Arial" w:hAnsi="Arial" w:cs="Arial"/>
          <w:sz w:val="24"/>
          <w:szCs w:val="24"/>
        </w:rPr>
        <w:t xml:space="preserve"> place in September 2018 to understand local priorities and issues.  The information obtained will help inform the concept design going forward</w:t>
      </w:r>
      <w:r w:rsidRPr="00560AC8">
        <w:rPr>
          <w:rFonts w:ascii="Arial" w:hAnsi="Arial" w:cs="Arial"/>
          <w:b/>
          <w:sz w:val="24"/>
          <w:szCs w:val="24"/>
        </w:rPr>
        <w:t>.</w:t>
      </w:r>
    </w:p>
    <w:p w:rsidR="0047390F" w:rsidRPr="00560AC8" w:rsidRDefault="00EE7244" w:rsidP="00786A76">
      <w:pPr>
        <w:pStyle w:val="ListParagraph"/>
        <w:numPr>
          <w:ilvl w:val="0"/>
          <w:numId w:val="9"/>
        </w:numPr>
        <w:spacing w:after="0" w:line="240" w:lineRule="auto"/>
        <w:jc w:val="both"/>
        <w:rPr>
          <w:rFonts w:ascii="Arial" w:hAnsi="Arial" w:cs="Arial"/>
          <w:sz w:val="24"/>
          <w:szCs w:val="24"/>
        </w:rPr>
      </w:pPr>
      <w:r w:rsidRPr="00560AC8">
        <w:rPr>
          <w:rFonts w:ascii="Arial" w:hAnsi="Arial" w:cs="Arial"/>
          <w:b/>
          <w:sz w:val="24"/>
          <w:szCs w:val="24"/>
        </w:rPr>
        <w:t xml:space="preserve">Preston bus station – </w:t>
      </w:r>
      <w:r w:rsidRPr="00560AC8">
        <w:rPr>
          <w:rFonts w:ascii="Arial" w:hAnsi="Arial" w:cs="Arial"/>
          <w:sz w:val="24"/>
          <w:szCs w:val="24"/>
        </w:rPr>
        <w:t>concrete repairs</w:t>
      </w:r>
      <w:r>
        <w:rPr>
          <w:rFonts w:ascii="Arial" w:hAnsi="Arial" w:cs="Arial"/>
          <w:sz w:val="24"/>
          <w:szCs w:val="24"/>
        </w:rPr>
        <w:t xml:space="preserve"> to the </w:t>
      </w:r>
      <w:r w:rsidRPr="00560AC8">
        <w:rPr>
          <w:rFonts w:ascii="Arial" w:hAnsi="Arial" w:cs="Arial"/>
          <w:sz w:val="24"/>
          <w:szCs w:val="24"/>
        </w:rPr>
        <w:t>car park refurbishment of the concourse and on site highways works all completed in summer 2018.  The final section, the western apron is to be delivered as part of Fishergate phase 3 works.</w:t>
      </w:r>
    </w:p>
    <w:p w:rsidR="0047390F" w:rsidRPr="00560AC8" w:rsidRDefault="00EE7244" w:rsidP="00786A76">
      <w:pPr>
        <w:pStyle w:val="ListParagraph"/>
        <w:numPr>
          <w:ilvl w:val="0"/>
          <w:numId w:val="9"/>
        </w:numPr>
        <w:spacing w:after="0" w:line="240" w:lineRule="auto"/>
        <w:jc w:val="both"/>
        <w:rPr>
          <w:rFonts w:ascii="Arial" w:hAnsi="Arial" w:cs="Arial"/>
          <w:sz w:val="24"/>
          <w:szCs w:val="24"/>
        </w:rPr>
      </w:pPr>
      <w:r w:rsidRPr="00560AC8">
        <w:rPr>
          <w:rFonts w:ascii="Arial" w:hAnsi="Arial" w:cs="Arial"/>
          <w:b/>
          <w:sz w:val="24"/>
          <w:szCs w:val="24"/>
        </w:rPr>
        <w:t>Community infrastructure</w:t>
      </w:r>
      <w:r w:rsidRPr="00560AC8">
        <w:rPr>
          <w:rFonts w:ascii="Arial" w:hAnsi="Arial" w:cs="Arial"/>
          <w:sz w:val="24"/>
          <w:szCs w:val="24"/>
        </w:rPr>
        <w:t xml:space="preserve"> – A contract for the delivery of Grimsargh Green playing field improvements was awarded this period and work is expected to take place early in 2019.  Progress was also made on progressing the design for the East cliff cycle link with funding being secured to deliver the cycle path improvements.</w:t>
      </w:r>
    </w:p>
    <w:p w:rsidR="0047390F" w:rsidRPr="00681F70" w:rsidRDefault="0047390F" w:rsidP="00786A76">
      <w:pPr>
        <w:spacing w:after="0" w:line="240" w:lineRule="auto"/>
        <w:ind w:hanging="426"/>
        <w:jc w:val="both"/>
        <w:rPr>
          <w:rFonts w:ascii="Arial" w:hAnsi="Arial" w:cs="Arial"/>
          <w:sz w:val="24"/>
          <w:szCs w:val="24"/>
        </w:rPr>
      </w:pPr>
    </w:p>
    <w:p w:rsidR="0047390F" w:rsidRPr="00681F70" w:rsidRDefault="00EE7244" w:rsidP="00786A76">
      <w:pPr>
        <w:spacing w:after="0" w:line="240" w:lineRule="auto"/>
        <w:jc w:val="both"/>
        <w:rPr>
          <w:rFonts w:ascii="Arial" w:hAnsi="Arial" w:cs="Arial"/>
          <w:sz w:val="24"/>
          <w:szCs w:val="24"/>
        </w:rPr>
      </w:pPr>
      <w:r w:rsidRPr="00681F70">
        <w:rPr>
          <w:rFonts w:ascii="Arial" w:hAnsi="Arial" w:cs="Arial"/>
          <w:sz w:val="24"/>
          <w:szCs w:val="24"/>
        </w:rPr>
        <w:t>A full update on progress for all infrastructure schemes up to the end of quarter 2 (July-</w:t>
      </w:r>
      <w:r>
        <w:rPr>
          <w:rFonts w:ascii="Arial" w:hAnsi="Arial" w:cs="Arial"/>
          <w:sz w:val="24"/>
          <w:szCs w:val="24"/>
        </w:rPr>
        <w:t>S</w:t>
      </w:r>
      <w:r w:rsidR="00786A76">
        <w:rPr>
          <w:rFonts w:ascii="Arial" w:hAnsi="Arial" w:cs="Arial"/>
          <w:sz w:val="24"/>
          <w:szCs w:val="24"/>
        </w:rPr>
        <w:t>ept 2018) is provided in A</w:t>
      </w:r>
      <w:r w:rsidRPr="00681F70">
        <w:rPr>
          <w:rFonts w:ascii="Arial" w:hAnsi="Arial" w:cs="Arial"/>
          <w:sz w:val="24"/>
          <w:szCs w:val="24"/>
        </w:rPr>
        <w:t>ppendix 4.</w:t>
      </w:r>
    </w:p>
    <w:p w:rsidR="0047390F" w:rsidRPr="00681F70" w:rsidRDefault="0047390F" w:rsidP="00786A76">
      <w:pPr>
        <w:spacing w:after="0" w:line="240" w:lineRule="auto"/>
        <w:ind w:left="-426"/>
        <w:jc w:val="both"/>
        <w:rPr>
          <w:rFonts w:ascii="Arial" w:hAnsi="Arial" w:cs="Arial"/>
          <w:b/>
          <w:sz w:val="24"/>
          <w:szCs w:val="24"/>
        </w:rPr>
      </w:pPr>
    </w:p>
    <w:p w:rsidR="0047390F" w:rsidRPr="00681F70" w:rsidRDefault="00EE7244" w:rsidP="00786A76">
      <w:pPr>
        <w:spacing w:after="0" w:line="240" w:lineRule="auto"/>
        <w:jc w:val="both"/>
        <w:rPr>
          <w:rFonts w:ascii="Arial" w:hAnsi="Arial" w:cs="Arial"/>
          <w:b/>
          <w:sz w:val="24"/>
          <w:szCs w:val="24"/>
        </w:rPr>
      </w:pPr>
      <w:r w:rsidRPr="00681F70">
        <w:rPr>
          <w:rFonts w:ascii="Arial" w:hAnsi="Arial" w:cs="Arial"/>
          <w:b/>
          <w:sz w:val="24"/>
          <w:szCs w:val="24"/>
        </w:rPr>
        <w:t xml:space="preserve">11.0 Risk Analysis/Management </w:t>
      </w:r>
    </w:p>
    <w:p w:rsidR="0047390F" w:rsidRPr="00681F70" w:rsidRDefault="0047390F" w:rsidP="00786A76">
      <w:pPr>
        <w:autoSpaceDE w:val="0"/>
        <w:autoSpaceDN w:val="0"/>
        <w:adjustRightInd w:val="0"/>
        <w:spacing w:after="0" w:line="240" w:lineRule="auto"/>
        <w:rPr>
          <w:rFonts w:ascii="Arial" w:hAnsi="Arial" w:cs="Arial"/>
          <w:b/>
          <w:sz w:val="24"/>
          <w:szCs w:val="24"/>
          <w:u w:val="single"/>
        </w:rPr>
      </w:pPr>
    </w:p>
    <w:p w:rsidR="0047390F" w:rsidRPr="00681F70" w:rsidRDefault="00EE7244" w:rsidP="00786A76">
      <w:pPr>
        <w:autoSpaceDE w:val="0"/>
        <w:autoSpaceDN w:val="0"/>
        <w:adjustRightInd w:val="0"/>
        <w:spacing w:after="0" w:line="240" w:lineRule="auto"/>
        <w:rPr>
          <w:rFonts w:ascii="Arial" w:hAnsi="Arial" w:cs="Arial"/>
          <w:b/>
          <w:sz w:val="24"/>
          <w:szCs w:val="24"/>
        </w:rPr>
      </w:pPr>
      <w:r w:rsidRPr="00681F70">
        <w:rPr>
          <w:rFonts w:ascii="Arial" w:hAnsi="Arial" w:cs="Arial"/>
          <w:sz w:val="24"/>
          <w:szCs w:val="24"/>
        </w:rPr>
        <w:t xml:space="preserve">Attached to this report is the current </w:t>
      </w:r>
      <w:r w:rsidR="00786A76">
        <w:rPr>
          <w:rFonts w:ascii="Arial" w:hAnsi="Arial" w:cs="Arial"/>
          <w:sz w:val="24"/>
          <w:szCs w:val="24"/>
        </w:rPr>
        <w:t>programme level risk analysis (A</w:t>
      </w:r>
      <w:r w:rsidRPr="00681F70">
        <w:rPr>
          <w:rFonts w:ascii="Arial" w:hAnsi="Arial" w:cs="Arial"/>
          <w:sz w:val="24"/>
          <w:szCs w:val="24"/>
        </w:rPr>
        <w:t xml:space="preserve">ppendix 5) which is supported and informed by lower level operational risk logs managed by </w:t>
      </w:r>
      <w:r w:rsidRPr="00681F70">
        <w:rPr>
          <w:rFonts w:ascii="Arial" w:hAnsi="Arial" w:cs="Arial"/>
          <w:sz w:val="24"/>
          <w:szCs w:val="24"/>
        </w:rPr>
        <w:lastRenderedPageBreak/>
        <w:t>project managers.  The programme level risk analysis is updated 6 monthly in keeping with Government reporting requirements.</w:t>
      </w:r>
    </w:p>
    <w:p w:rsidR="0047390F" w:rsidRDefault="0047390F" w:rsidP="0047390F">
      <w:pPr>
        <w:pStyle w:val="NoSpacing"/>
        <w:jc w:val="both"/>
        <w:rPr>
          <w:rFonts w:cs="Arial"/>
          <w:szCs w:val="24"/>
        </w:rPr>
      </w:pPr>
      <w:bookmarkStart w:id="0" w:name="_GoBack"/>
      <w:bookmarkEnd w:id="0"/>
    </w:p>
    <w:p w:rsidR="0047390F" w:rsidRPr="0022408A" w:rsidRDefault="00EE7244" w:rsidP="0047390F">
      <w:pPr>
        <w:keepNext/>
        <w:keepLines/>
        <w:spacing w:before="40" w:after="0" w:line="249" w:lineRule="auto"/>
        <w:ind w:left="542" w:hanging="542"/>
        <w:outlineLvl w:val="4"/>
        <w:rPr>
          <w:rFonts w:ascii="Arial" w:eastAsia="Times New Roman" w:hAnsi="Arial" w:cs="Times New Roman"/>
          <w:b/>
          <w:sz w:val="24"/>
          <w:szCs w:val="24"/>
          <w:lang w:eastAsia="en-GB"/>
        </w:rPr>
      </w:pPr>
      <w:r w:rsidRPr="0022408A">
        <w:rPr>
          <w:rFonts w:ascii="Arial" w:eastAsia="Times New Roman" w:hAnsi="Arial" w:cs="Times New Roman"/>
          <w:b/>
          <w:sz w:val="24"/>
          <w:szCs w:val="24"/>
          <w:lang w:eastAsia="en-GB"/>
        </w:rPr>
        <w:t>List of Background Papers</w:t>
      </w:r>
    </w:p>
    <w:p w:rsidR="0047390F" w:rsidRPr="0022408A" w:rsidRDefault="0047390F" w:rsidP="0047390F">
      <w:pPr>
        <w:spacing w:after="5" w:line="249" w:lineRule="auto"/>
        <w:ind w:left="542" w:hanging="542"/>
        <w:rPr>
          <w:rFonts w:ascii="Arial" w:eastAsia="Calibri" w:hAnsi="Arial" w:cs="Arial"/>
          <w:color w:val="000000"/>
          <w:sz w:val="24"/>
          <w:szCs w:val="24"/>
          <w:lang w:eastAsia="en-GB"/>
        </w:rPr>
      </w:pPr>
    </w:p>
    <w:tbl>
      <w:tblPr>
        <w:tblW w:w="0" w:type="auto"/>
        <w:tblLayout w:type="fixed"/>
        <w:tblLook w:val="0000" w:firstRow="0" w:lastRow="0" w:firstColumn="0" w:lastColumn="0" w:noHBand="0" w:noVBand="0"/>
      </w:tblPr>
      <w:tblGrid>
        <w:gridCol w:w="3510"/>
        <w:gridCol w:w="2492"/>
        <w:gridCol w:w="3178"/>
      </w:tblGrid>
      <w:tr w:rsidR="00C07FE1" w:rsidTr="0047390F">
        <w:tc>
          <w:tcPr>
            <w:tcW w:w="3510" w:type="dxa"/>
          </w:tcPr>
          <w:p w:rsidR="0047390F" w:rsidRPr="0022408A" w:rsidRDefault="00EE7244" w:rsidP="0047390F">
            <w:pPr>
              <w:keepNext/>
              <w:keepLines/>
              <w:spacing w:before="40" w:after="0" w:line="249" w:lineRule="auto"/>
              <w:ind w:left="542" w:hanging="542"/>
              <w:outlineLvl w:val="6"/>
              <w:rPr>
                <w:rFonts w:ascii="Arial" w:eastAsia="Times New Roman" w:hAnsi="Arial" w:cs="Arial"/>
                <w:iCs/>
                <w:sz w:val="24"/>
                <w:szCs w:val="24"/>
                <w:lang w:eastAsia="en-GB"/>
              </w:rPr>
            </w:pPr>
            <w:r w:rsidRPr="0022408A">
              <w:rPr>
                <w:rFonts w:ascii="Arial" w:eastAsia="Times New Roman" w:hAnsi="Arial" w:cs="Arial"/>
                <w:iCs/>
                <w:sz w:val="24"/>
                <w:szCs w:val="24"/>
                <w:lang w:eastAsia="en-GB"/>
              </w:rPr>
              <w:t>Paper</w:t>
            </w:r>
          </w:p>
        </w:tc>
        <w:tc>
          <w:tcPr>
            <w:tcW w:w="2492" w:type="dxa"/>
          </w:tcPr>
          <w:p w:rsidR="0047390F" w:rsidRPr="0022408A" w:rsidRDefault="00EE7244" w:rsidP="0047390F">
            <w:pPr>
              <w:keepNext/>
              <w:keepLines/>
              <w:spacing w:before="40" w:after="0" w:line="249" w:lineRule="auto"/>
              <w:ind w:left="542" w:hanging="542"/>
              <w:outlineLvl w:val="6"/>
              <w:rPr>
                <w:rFonts w:ascii="Arial" w:eastAsia="Times New Roman" w:hAnsi="Arial" w:cs="Arial"/>
                <w:iCs/>
                <w:sz w:val="24"/>
                <w:szCs w:val="24"/>
                <w:lang w:eastAsia="en-GB"/>
              </w:rPr>
            </w:pPr>
            <w:r w:rsidRPr="0022408A">
              <w:rPr>
                <w:rFonts w:ascii="Arial" w:eastAsia="Times New Roman" w:hAnsi="Arial" w:cs="Arial"/>
                <w:iCs/>
                <w:sz w:val="24"/>
                <w:szCs w:val="24"/>
                <w:lang w:eastAsia="en-GB"/>
              </w:rPr>
              <w:t>Date</w:t>
            </w:r>
          </w:p>
        </w:tc>
        <w:tc>
          <w:tcPr>
            <w:tcW w:w="3178" w:type="dxa"/>
          </w:tcPr>
          <w:p w:rsidR="0047390F" w:rsidRPr="0022408A" w:rsidRDefault="00EE7244" w:rsidP="0047390F">
            <w:pPr>
              <w:keepNext/>
              <w:keepLines/>
              <w:spacing w:before="40" w:after="0" w:line="249" w:lineRule="auto"/>
              <w:ind w:left="542" w:hanging="542"/>
              <w:outlineLvl w:val="6"/>
              <w:rPr>
                <w:rFonts w:ascii="Arial" w:eastAsia="Times New Roman" w:hAnsi="Arial" w:cs="Arial"/>
                <w:iCs/>
                <w:sz w:val="24"/>
                <w:szCs w:val="24"/>
                <w:lang w:eastAsia="en-GB"/>
              </w:rPr>
            </w:pPr>
            <w:r w:rsidRPr="0022408A">
              <w:rPr>
                <w:rFonts w:ascii="Arial" w:eastAsia="Times New Roman" w:hAnsi="Arial" w:cs="Arial"/>
                <w:iCs/>
                <w:sz w:val="24"/>
                <w:szCs w:val="24"/>
                <w:lang w:eastAsia="en-GB"/>
              </w:rPr>
              <w:t>Contact/Tel</w:t>
            </w:r>
          </w:p>
        </w:tc>
      </w:tr>
      <w:tr w:rsidR="00C07FE1" w:rsidTr="0047390F">
        <w:tc>
          <w:tcPr>
            <w:tcW w:w="3510" w:type="dxa"/>
          </w:tcPr>
          <w:p w:rsidR="0047390F" w:rsidRPr="0022408A" w:rsidRDefault="0047390F" w:rsidP="0047390F">
            <w:pPr>
              <w:spacing w:after="5" w:line="249" w:lineRule="auto"/>
              <w:ind w:left="542" w:hanging="542"/>
              <w:rPr>
                <w:rFonts w:ascii="Arial" w:eastAsia="Calibri" w:hAnsi="Arial" w:cs="Arial"/>
                <w:sz w:val="24"/>
                <w:szCs w:val="24"/>
                <w:lang w:eastAsia="en-GB"/>
              </w:rPr>
            </w:pPr>
          </w:p>
          <w:p w:rsidR="0047390F" w:rsidRPr="0022408A" w:rsidRDefault="0047390F" w:rsidP="0047390F">
            <w:pPr>
              <w:spacing w:after="5" w:line="249" w:lineRule="auto"/>
              <w:ind w:left="542" w:hanging="542"/>
              <w:rPr>
                <w:rFonts w:ascii="Arial" w:eastAsia="Calibri" w:hAnsi="Arial" w:cs="Arial"/>
                <w:sz w:val="24"/>
                <w:szCs w:val="24"/>
                <w:lang w:eastAsia="en-GB"/>
              </w:rPr>
            </w:pPr>
            <w:r>
              <w:rPr>
                <w:rFonts w:ascii="Arial" w:eastAsia="Calibri" w:hAnsi="Arial" w:cs="Arial"/>
                <w:sz w:val="24"/>
                <w:szCs w:val="24"/>
                <w:lang w:eastAsia="en-GB"/>
              </w:rPr>
              <w:t>None</w:t>
            </w:r>
          </w:p>
          <w:p w:rsidR="0047390F" w:rsidRPr="0022408A" w:rsidRDefault="0047390F" w:rsidP="0047390F">
            <w:pPr>
              <w:spacing w:after="5" w:line="249" w:lineRule="auto"/>
              <w:ind w:left="542" w:hanging="542"/>
              <w:rPr>
                <w:rFonts w:ascii="Arial" w:eastAsia="Calibri" w:hAnsi="Arial" w:cs="Arial"/>
                <w:sz w:val="24"/>
                <w:szCs w:val="24"/>
                <w:lang w:eastAsia="en-GB"/>
              </w:rPr>
            </w:pPr>
          </w:p>
        </w:tc>
        <w:tc>
          <w:tcPr>
            <w:tcW w:w="2492" w:type="dxa"/>
          </w:tcPr>
          <w:p w:rsidR="0047390F" w:rsidRPr="0022408A" w:rsidRDefault="0047390F" w:rsidP="0047390F">
            <w:pPr>
              <w:spacing w:after="5" w:line="249" w:lineRule="auto"/>
              <w:ind w:left="542" w:hanging="542"/>
              <w:rPr>
                <w:rFonts w:ascii="Arial" w:eastAsia="Calibri" w:hAnsi="Arial" w:cs="Arial"/>
                <w:sz w:val="24"/>
                <w:szCs w:val="24"/>
                <w:lang w:eastAsia="en-GB"/>
              </w:rPr>
            </w:pPr>
          </w:p>
        </w:tc>
        <w:tc>
          <w:tcPr>
            <w:tcW w:w="3178" w:type="dxa"/>
          </w:tcPr>
          <w:p w:rsidR="0047390F" w:rsidRPr="0022408A" w:rsidRDefault="0047390F" w:rsidP="0047390F">
            <w:pPr>
              <w:spacing w:after="5" w:line="249" w:lineRule="auto"/>
              <w:ind w:left="542" w:hanging="542"/>
              <w:rPr>
                <w:rFonts w:ascii="Arial" w:eastAsia="Calibri" w:hAnsi="Arial" w:cs="Arial"/>
                <w:sz w:val="24"/>
                <w:szCs w:val="24"/>
                <w:lang w:eastAsia="en-GB"/>
              </w:rPr>
            </w:pPr>
          </w:p>
        </w:tc>
      </w:tr>
      <w:tr w:rsidR="00C07FE1" w:rsidTr="0047390F">
        <w:trPr>
          <w:cantSplit/>
        </w:trPr>
        <w:tc>
          <w:tcPr>
            <w:tcW w:w="9180" w:type="dxa"/>
            <w:gridSpan w:val="3"/>
          </w:tcPr>
          <w:p w:rsidR="0047390F" w:rsidRDefault="0047390F" w:rsidP="0047390F">
            <w:pPr>
              <w:spacing w:after="5" w:line="247" w:lineRule="auto"/>
              <w:ind w:left="542" w:hanging="542"/>
              <w:rPr>
                <w:rFonts w:ascii="Arial" w:eastAsia="Calibri" w:hAnsi="Arial" w:cs="Arial"/>
                <w:color w:val="000000"/>
                <w:sz w:val="24"/>
                <w:szCs w:val="24"/>
                <w:lang w:eastAsia="en-GB"/>
              </w:rPr>
            </w:pPr>
            <w:r>
              <w:rPr>
                <w:rFonts w:ascii="Arial" w:eastAsia="Calibri" w:hAnsi="Arial" w:cs="Arial"/>
                <w:color w:val="000000"/>
                <w:sz w:val="24"/>
                <w:szCs w:val="24"/>
                <w:lang w:eastAsia="en-GB"/>
              </w:rPr>
              <w:t xml:space="preserve">Reason for inclusion in Part II, if appropriate </w:t>
            </w:r>
          </w:p>
          <w:p w:rsidR="0047390F" w:rsidRDefault="0047390F" w:rsidP="0047390F">
            <w:pPr>
              <w:spacing w:after="5" w:line="249" w:lineRule="auto"/>
              <w:rPr>
                <w:rFonts w:ascii="Arial" w:eastAsia="Calibri" w:hAnsi="Arial" w:cs="Arial"/>
                <w:color w:val="000000"/>
                <w:sz w:val="24"/>
                <w:szCs w:val="24"/>
                <w:lang w:eastAsia="en-GB"/>
              </w:rPr>
            </w:pPr>
          </w:p>
          <w:p w:rsidR="0047390F" w:rsidRPr="0047390F" w:rsidRDefault="0047390F" w:rsidP="0047390F">
            <w:pPr>
              <w:spacing w:after="5" w:line="249" w:lineRule="auto"/>
              <w:rPr>
                <w:rFonts w:ascii="Arial" w:eastAsia="Calibri" w:hAnsi="Arial" w:cs="Arial"/>
                <w:color w:val="000000"/>
                <w:sz w:val="24"/>
                <w:szCs w:val="24"/>
                <w:lang w:eastAsia="en-GB"/>
              </w:rPr>
            </w:pPr>
            <w:r>
              <w:rPr>
                <w:rFonts w:ascii="Arial" w:eastAsia="Calibri" w:hAnsi="Arial" w:cs="Arial"/>
                <w:color w:val="000000"/>
                <w:sz w:val="24"/>
                <w:szCs w:val="24"/>
                <w:lang w:eastAsia="en-GB"/>
              </w:rPr>
              <w:t>N/A</w:t>
            </w:r>
          </w:p>
          <w:p w:rsidR="0047390F" w:rsidRPr="0022408A" w:rsidRDefault="0047390F" w:rsidP="0047390F">
            <w:pPr>
              <w:spacing w:after="5" w:line="249" w:lineRule="auto"/>
              <w:jc w:val="both"/>
              <w:rPr>
                <w:rFonts w:ascii="Arial" w:eastAsia="Calibri" w:hAnsi="Arial" w:cs="Arial"/>
                <w:color w:val="000000"/>
                <w:sz w:val="24"/>
                <w:szCs w:val="24"/>
                <w:lang w:eastAsia="en-GB"/>
              </w:rPr>
            </w:pPr>
          </w:p>
        </w:tc>
      </w:tr>
    </w:tbl>
    <w:p w:rsidR="0047390F" w:rsidRPr="009D435E" w:rsidRDefault="0047390F" w:rsidP="0047390F">
      <w:pPr>
        <w:pStyle w:val="NoSpacing"/>
        <w:jc w:val="both"/>
        <w:rPr>
          <w:rFonts w:cs="Arial"/>
          <w:szCs w:val="24"/>
        </w:rPr>
      </w:pPr>
    </w:p>
    <w:sectPr w:rsidR="0047390F" w:rsidRPr="009D435E">
      <w:headerReference w:type="default" r:id="rId8"/>
      <w:footerReference w:type="even" r:id="rId9"/>
      <w:footerReference w:type="defaul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90F" w:rsidRDefault="0047390F">
      <w:pPr>
        <w:spacing w:after="0" w:line="240" w:lineRule="auto"/>
      </w:pPr>
      <w:r>
        <w:separator/>
      </w:r>
    </w:p>
  </w:endnote>
  <w:endnote w:type="continuationSeparator" w:id="0">
    <w:p w:rsidR="0047390F" w:rsidRDefault="00473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90F" w:rsidRDefault="0047390F" w:rsidP="0047390F">
    <w:pPr>
      <w:pStyle w:val="Footer"/>
    </w:pPr>
    <w:bookmarkStart w:id="1" w:name="aliashAdvancedFooterprot1FooterEvenPages"/>
  </w:p>
  <w:bookmarkEnd w:id="1"/>
  <w:p w:rsidR="0047390F" w:rsidRDefault="004739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90F" w:rsidRDefault="0047390F" w:rsidP="0047390F">
    <w:pPr>
      <w:pStyle w:val="Footer"/>
    </w:pPr>
    <w:bookmarkStart w:id="2" w:name="aliashAdvancedFooterprotec1FooterPrimary"/>
  </w:p>
  <w:bookmarkEnd w:id="2"/>
  <w:p w:rsidR="0047390F" w:rsidRDefault="004739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90F" w:rsidRDefault="0047390F" w:rsidP="0047390F">
    <w:pPr>
      <w:pStyle w:val="Footer"/>
    </w:pPr>
    <w:bookmarkStart w:id="3" w:name="aliashAdvancedFooterprot1FooterFirstPage"/>
  </w:p>
  <w:bookmarkEnd w:id="3"/>
  <w:p w:rsidR="0047390F" w:rsidRDefault="004739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90F" w:rsidRDefault="0047390F">
      <w:pPr>
        <w:spacing w:after="0" w:line="240" w:lineRule="auto"/>
      </w:pPr>
      <w:r>
        <w:separator/>
      </w:r>
    </w:p>
  </w:footnote>
  <w:footnote w:type="continuationSeparator" w:id="0">
    <w:p w:rsidR="0047390F" w:rsidRDefault="004739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90F" w:rsidRDefault="0047390F" w:rsidP="0047390F">
    <w:pPr>
      <w:pStyle w:val="Header"/>
    </w:pPr>
    <w:r w:rsidRPr="00DA16C4">
      <w:rPr>
        <w:noProof/>
        <w:lang w:eastAsia="en-GB"/>
      </w:rPr>
      <w:drawing>
        <wp:inline distT="0" distB="0" distL="0" distR="0">
          <wp:extent cx="3802566" cy="991710"/>
          <wp:effectExtent l="0" t="0" r="0" b="0"/>
          <wp:docPr id="2" name="Picture 2" descr="\\psf\Home\Desktop\C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4258888" name="Picture 1" descr="\\psf\Home\Desktop\CD 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02783" cy="99176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42B64"/>
    <w:multiLevelType w:val="hybridMultilevel"/>
    <w:tmpl w:val="C31CC5EA"/>
    <w:lvl w:ilvl="0" w:tplc="C4403D36">
      <w:start w:val="1"/>
      <w:numFmt w:val="bullet"/>
      <w:lvlText w:val=""/>
      <w:lvlJc w:val="left"/>
      <w:pPr>
        <w:ind w:left="720" w:hanging="360"/>
      </w:pPr>
      <w:rPr>
        <w:rFonts w:ascii="Symbol" w:hAnsi="Symbol" w:hint="default"/>
      </w:rPr>
    </w:lvl>
    <w:lvl w:ilvl="1" w:tplc="BE7AE7F4" w:tentative="1">
      <w:start w:val="1"/>
      <w:numFmt w:val="bullet"/>
      <w:lvlText w:val="o"/>
      <w:lvlJc w:val="left"/>
      <w:pPr>
        <w:ind w:left="1440" w:hanging="360"/>
      </w:pPr>
      <w:rPr>
        <w:rFonts w:ascii="Courier New" w:hAnsi="Courier New" w:cs="Courier New" w:hint="default"/>
      </w:rPr>
    </w:lvl>
    <w:lvl w:ilvl="2" w:tplc="06A89C6E" w:tentative="1">
      <w:start w:val="1"/>
      <w:numFmt w:val="bullet"/>
      <w:lvlText w:val=""/>
      <w:lvlJc w:val="left"/>
      <w:pPr>
        <w:ind w:left="2160" w:hanging="360"/>
      </w:pPr>
      <w:rPr>
        <w:rFonts w:ascii="Wingdings" w:hAnsi="Wingdings" w:hint="default"/>
      </w:rPr>
    </w:lvl>
    <w:lvl w:ilvl="3" w:tplc="BF2C754A" w:tentative="1">
      <w:start w:val="1"/>
      <w:numFmt w:val="bullet"/>
      <w:lvlText w:val=""/>
      <w:lvlJc w:val="left"/>
      <w:pPr>
        <w:ind w:left="2880" w:hanging="360"/>
      </w:pPr>
      <w:rPr>
        <w:rFonts w:ascii="Symbol" w:hAnsi="Symbol" w:hint="default"/>
      </w:rPr>
    </w:lvl>
    <w:lvl w:ilvl="4" w:tplc="14B0105E" w:tentative="1">
      <w:start w:val="1"/>
      <w:numFmt w:val="bullet"/>
      <w:lvlText w:val="o"/>
      <w:lvlJc w:val="left"/>
      <w:pPr>
        <w:ind w:left="3600" w:hanging="360"/>
      </w:pPr>
      <w:rPr>
        <w:rFonts w:ascii="Courier New" w:hAnsi="Courier New" w:cs="Courier New" w:hint="default"/>
      </w:rPr>
    </w:lvl>
    <w:lvl w:ilvl="5" w:tplc="5FFE0DD8" w:tentative="1">
      <w:start w:val="1"/>
      <w:numFmt w:val="bullet"/>
      <w:lvlText w:val=""/>
      <w:lvlJc w:val="left"/>
      <w:pPr>
        <w:ind w:left="4320" w:hanging="360"/>
      </w:pPr>
      <w:rPr>
        <w:rFonts w:ascii="Wingdings" w:hAnsi="Wingdings" w:hint="default"/>
      </w:rPr>
    </w:lvl>
    <w:lvl w:ilvl="6" w:tplc="71683D48" w:tentative="1">
      <w:start w:val="1"/>
      <w:numFmt w:val="bullet"/>
      <w:lvlText w:val=""/>
      <w:lvlJc w:val="left"/>
      <w:pPr>
        <w:ind w:left="5040" w:hanging="360"/>
      </w:pPr>
      <w:rPr>
        <w:rFonts w:ascii="Symbol" w:hAnsi="Symbol" w:hint="default"/>
      </w:rPr>
    </w:lvl>
    <w:lvl w:ilvl="7" w:tplc="4CD62A8C" w:tentative="1">
      <w:start w:val="1"/>
      <w:numFmt w:val="bullet"/>
      <w:lvlText w:val="o"/>
      <w:lvlJc w:val="left"/>
      <w:pPr>
        <w:ind w:left="5760" w:hanging="360"/>
      </w:pPr>
      <w:rPr>
        <w:rFonts w:ascii="Courier New" w:hAnsi="Courier New" w:cs="Courier New" w:hint="default"/>
      </w:rPr>
    </w:lvl>
    <w:lvl w:ilvl="8" w:tplc="B35EC8B8" w:tentative="1">
      <w:start w:val="1"/>
      <w:numFmt w:val="bullet"/>
      <w:lvlText w:val=""/>
      <w:lvlJc w:val="left"/>
      <w:pPr>
        <w:ind w:left="6480" w:hanging="360"/>
      </w:pPr>
      <w:rPr>
        <w:rFonts w:ascii="Wingdings" w:hAnsi="Wingdings" w:hint="default"/>
      </w:rPr>
    </w:lvl>
  </w:abstractNum>
  <w:abstractNum w:abstractNumId="1" w15:restartNumberingAfterBreak="0">
    <w:nsid w:val="0F060D89"/>
    <w:multiLevelType w:val="hybridMultilevel"/>
    <w:tmpl w:val="C5D645D8"/>
    <w:lvl w:ilvl="0" w:tplc="00AAEE26">
      <w:start w:val="1"/>
      <w:numFmt w:val="bullet"/>
      <w:lvlText w:val=""/>
      <w:lvlJc w:val="left"/>
      <w:pPr>
        <w:ind w:left="720" w:hanging="360"/>
      </w:pPr>
      <w:rPr>
        <w:rFonts w:ascii="Symbol" w:hAnsi="Symbol" w:hint="default"/>
      </w:rPr>
    </w:lvl>
    <w:lvl w:ilvl="1" w:tplc="DFAE95CA" w:tentative="1">
      <w:start w:val="1"/>
      <w:numFmt w:val="bullet"/>
      <w:lvlText w:val="o"/>
      <w:lvlJc w:val="left"/>
      <w:pPr>
        <w:ind w:left="1440" w:hanging="360"/>
      </w:pPr>
      <w:rPr>
        <w:rFonts w:ascii="Courier New" w:hAnsi="Courier New" w:cs="Courier New" w:hint="default"/>
      </w:rPr>
    </w:lvl>
    <w:lvl w:ilvl="2" w:tplc="FD00A1F8" w:tentative="1">
      <w:start w:val="1"/>
      <w:numFmt w:val="bullet"/>
      <w:lvlText w:val=""/>
      <w:lvlJc w:val="left"/>
      <w:pPr>
        <w:ind w:left="2160" w:hanging="360"/>
      </w:pPr>
      <w:rPr>
        <w:rFonts w:ascii="Wingdings" w:hAnsi="Wingdings" w:hint="default"/>
      </w:rPr>
    </w:lvl>
    <w:lvl w:ilvl="3" w:tplc="4E2C87B8" w:tentative="1">
      <w:start w:val="1"/>
      <w:numFmt w:val="bullet"/>
      <w:lvlText w:val=""/>
      <w:lvlJc w:val="left"/>
      <w:pPr>
        <w:ind w:left="2880" w:hanging="360"/>
      </w:pPr>
      <w:rPr>
        <w:rFonts w:ascii="Symbol" w:hAnsi="Symbol" w:hint="default"/>
      </w:rPr>
    </w:lvl>
    <w:lvl w:ilvl="4" w:tplc="3416AF7E" w:tentative="1">
      <w:start w:val="1"/>
      <w:numFmt w:val="bullet"/>
      <w:lvlText w:val="o"/>
      <w:lvlJc w:val="left"/>
      <w:pPr>
        <w:ind w:left="3600" w:hanging="360"/>
      </w:pPr>
      <w:rPr>
        <w:rFonts w:ascii="Courier New" w:hAnsi="Courier New" w:cs="Courier New" w:hint="default"/>
      </w:rPr>
    </w:lvl>
    <w:lvl w:ilvl="5" w:tplc="004840BE" w:tentative="1">
      <w:start w:val="1"/>
      <w:numFmt w:val="bullet"/>
      <w:lvlText w:val=""/>
      <w:lvlJc w:val="left"/>
      <w:pPr>
        <w:ind w:left="4320" w:hanging="360"/>
      </w:pPr>
      <w:rPr>
        <w:rFonts w:ascii="Wingdings" w:hAnsi="Wingdings" w:hint="default"/>
      </w:rPr>
    </w:lvl>
    <w:lvl w:ilvl="6" w:tplc="1BBA275A" w:tentative="1">
      <w:start w:val="1"/>
      <w:numFmt w:val="bullet"/>
      <w:lvlText w:val=""/>
      <w:lvlJc w:val="left"/>
      <w:pPr>
        <w:ind w:left="5040" w:hanging="360"/>
      </w:pPr>
      <w:rPr>
        <w:rFonts w:ascii="Symbol" w:hAnsi="Symbol" w:hint="default"/>
      </w:rPr>
    </w:lvl>
    <w:lvl w:ilvl="7" w:tplc="EE0A8BD0" w:tentative="1">
      <w:start w:val="1"/>
      <w:numFmt w:val="bullet"/>
      <w:lvlText w:val="o"/>
      <w:lvlJc w:val="left"/>
      <w:pPr>
        <w:ind w:left="5760" w:hanging="360"/>
      </w:pPr>
      <w:rPr>
        <w:rFonts w:ascii="Courier New" w:hAnsi="Courier New" w:cs="Courier New" w:hint="default"/>
      </w:rPr>
    </w:lvl>
    <w:lvl w:ilvl="8" w:tplc="0F405F0A" w:tentative="1">
      <w:start w:val="1"/>
      <w:numFmt w:val="bullet"/>
      <w:lvlText w:val=""/>
      <w:lvlJc w:val="left"/>
      <w:pPr>
        <w:ind w:left="6480" w:hanging="360"/>
      </w:pPr>
      <w:rPr>
        <w:rFonts w:ascii="Wingdings" w:hAnsi="Wingdings" w:hint="default"/>
      </w:rPr>
    </w:lvl>
  </w:abstractNum>
  <w:abstractNum w:abstractNumId="2" w15:restartNumberingAfterBreak="0">
    <w:nsid w:val="1529788C"/>
    <w:multiLevelType w:val="hybridMultilevel"/>
    <w:tmpl w:val="A4A01B66"/>
    <w:lvl w:ilvl="0" w:tplc="692A036E">
      <w:start w:val="1"/>
      <w:numFmt w:val="bullet"/>
      <w:lvlText w:val=""/>
      <w:lvlJc w:val="left"/>
      <w:pPr>
        <w:ind w:left="720" w:hanging="360"/>
      </w:pPr>
      <w:rPr>
        <w:rFonts w:ascii="Symbol" w:hAnsi="Symbol" w:hint="default"/>
      </w:rPr>
    </w:lvl>
    <w:lvl w:ilvl="1" w:tplc="E88E1BC6" w:tentative="1">
      <w:start w:val="1"/>
      <w:numFmt w:val="bullet"/>
      <w:lvlText w:val="o"/>
      <w:lvlJc w:val="left"/>
      <w:pPr>
        <w:ind w:left="1440" w:hanging="360"/>
      </w:pPr>
      <w:rPr>
        <w:rFonts w:ascii="Courier New" w:hAnsi="Courier New" w:cs="Courier New" w:hint="default"/>
      </w:rPr>
    </w:lvl>
    <w:lvl w:ilvl="2" w:tplc="EF7C024A" w:tentative="1">
      <w:start w:val="1"/>
      <w:numFmt w:val="bullet"/>
      <w:lvlText w:val=""/>
      <w:lvlJc w:val="left"/>
      <w:pPr>
        <w:ind w:left="2160" w:hanging="360"/>
      </w:pPr>
      <w:rPr>
        <w:rFonts w:ascii="Wingdings" w:hAnsi="Wingdings" w:hint="default"/>
      </w:rPr>
    </w:lvl>
    <w:lvl w:ilvl="3" w:tplc="40CA122E" w:tentative="1">
      <w:start w:val="1"/>
      <w:numFmt w:val="bullet"/>
      <w:lvlText w:val=""/>
      <w:lvlJc w:val="left"/>
      <w:pPr>
        <w:ind w:left="2880" w:hanging="360"/>
      </w:pPr>
      <w:rPr>
        <w:rFonts w:ascii="Symbol" w:hAnsi="Symbol" w:hint="default"/>
      </w:rPr>
    </w:lvl>
    <w:lvl w:ilvl="4" w:tplc="CCF209DA" w:tentative="1">
      <w:start w:val="1"/>
      <w:numFmt w:val="bullet"/>
      <w:lvlText w:val="o"/>
      <w:lvlJc w:val="left"/>
      <w:pPr>
        <w:ind w:left="3600" w:hanging="360"/>
      </w:pPr>
      <w:rPr>
        <w:rFonts w:ascii="Courier New" w:hAnsi="Courier New" w:cs="Courier New" w:hint="default"/>
      </w:rPr>
    </w:lvl>
    <w:lvl w:ilvl="5" w:tplc="3064EE6A" w:tentative="1">
      <w:start w:val="1"/>
      <w:numFmt w:val="bullet"/>
      <w:lvlText w:val=""/>
      <w:lvlJc w:val="left"/>
      <w:pPr>
        <w:ind w:left="4320" w:hanging="360"/>
      </w:pPr>
      <w:rPr>
        <w:rFonts w:ascii="Wingdings" w:hAnsi="Wingdings" w:hint="default"/>
      </w:rPr>
    </w:lvl>
    <w:lvl w:ilvl="6" w:tplc="F1C263A6" w:tentative="1">
      <w:start w:val="1"/>
      <w:numFmt w:val="bullet"/>
      <w:lvlText w:val=""/>
      <w:lvlJc w:val="left"/>
      <w:pPr>
        <w:ind w:left="5040" w:hanging="360"/>
      </w:pPr>
      <w:rPr>
        <w:rFonts w:ascii="Symbol" w:hAnsi="Symbol" w:hint="default"/>
      </w:rPr>
    </w:lvl>
    <w:lvl w:ilvl="7" w:tplc="55341D4E" w:tentative="1">
      <w:start w:val="1"/>
      <w:numFmt w:val="bullet"/>
      <w:lvlText w:val="o"/>
      <w:lvlJc w:val="left"/>
      <w:pPr>
        <w:ind w:left="5760" w:hanging="360"/>
      </w:pPr>
      <w:rPr>
        <w:rFonts w:ascii="Courier New" w:hAnsi="Courier New" w:cs="Courier New" w:hint="default"/>
      </w:rPr>
    </w:lvl>
    <w:lvl w:ilvl="8" w:tplc="B31012EE" w:tentative="1">
      <w:start w:val="1"/>
      <w:numFmt w:val="bullet"/>
      <w:lvlText w:val=""/>
      <w:lvlJc w:val="left"/>
      <w:pPr>
        <w:ind w:left="6480" w:hanging="360"/>
      </w:pPr>
      <w:rPr>
        <w:rFonts w:ascii="Wingdings" w:hAnsi="Wingdings" w:hint="default"/>
      </w:rPr>
    </w:lvl>
  </w:abstractNum>
  <w:abstractNum w:abstractNumId="3" w15:restartNumberingAfterBreak="0">
    <w:nsid w:val="22FB2BEF"/>
    <w:multiLevelType w:val="hybridMultilevel"/>
    <w:tmpl w:val="6A781DDC"/>
    <w:lvl w:ilvl="0" w:tplc="1570AB64">
      <w:start w:val="1"/>
      <w:numFmt w:val="bullet"/>
      <w:lvlText w:val=""/>
      <w:lvlJc w:val="left"/>
      <w:pPr>
        <w:ind w:left="720" w:hanging="360"/>
      </w:pPr>
      <w:rPr>
        <w:rFonts w:ascii="Symbol" w:hAnsi="Symbol" w:hint="default"/>
      </w:rPr>
    </w:lvl>
    <w:lvl w:ilvl="1" w:tplc="C53640EE" w:tentative="1">
      <w:start w:val="1"/>
      <w:numFmt w:val="bullet"/>
      <w:lvlText w:val="o"/>
      <w:lvlJc w:val="left"/>
      <w:pPr>
        <w:ind w:left="1440" w:hanging="360"/>
      </w:pPr>
      <w:rPr>
        <w:rFonts w:ascii="Courier New" w:hAnsi="Courier New" w:cs="Courier New" w:hint="default"/>
      </w:rPr>
    </w:lvl>
    <w:lvl w:ilvl="2" w:tplc="52A636A2" w:tentative="1">
      <w:start w:val="1"/>
      <w:numFmt w:val="bullet"/>
      <w:lvlText w:val=""/>
      <w:lvlJc w:val="left"/>
      <w:pPr>
        <w:ind w:left="2160" w:hanging="360"/>
      </w:pPr>
      <w:rPr>
        <w:rFonts w:ascii="Wingdings" w:hAnsi="Wingdings" w:hint="default"/>
      </w:rPr>
    </w:lvl>
    <w:lvl w:ilvl="3" w:tplc="46768892" w:tentative="1">
      <w:start w:val="1"/>
      <w:numFmt w:val="bullet"/>
      <w:lvlText w:val=""/>
      <w:lvlJc w:val="left"/>
      <w:pPr>
        <w:ind w:left="2880" w:hanging="360"/>
      </w:pPr>
      <w:rPr>
        <w:rFonts w:ascii="Symbol" w:hAnsi="Symbol" w:hint="default"/>
      </w:rPr>
    </w:lvl>
    <w:lvl w:ilvl="4" w:tplc="E5DCEEB8" w:tentative="1">
      <w:start w:val="1"/>
      <w:numFmt w:val="bullet"/>
      <w:lvlText w:val="o"/>
      <w:lvlJc w:val="left"/>
      <w:pPr>
        <w:ind w:left="3600" w:hanging="360"/>
      </w:pPr>
      <w:rPr>
        <w:rFonts w:ascii="Courier New" w:hAnsi="Courier New" w:cs="Courier New" w:hint="default"/>
      </w:rPr>
    </w:lvl>
    <w:lvl w:ilvl="5" w:tplc="C4B882F0" w:tentative="1">
      <w:start w:val="1"/>
      <w:numFmt w:val="bullet"/>
      <w:lvlText w:val=""/>
      <w:lvlJc w:val="left"/>
      <w:pPr>
        <w:ind w:left="4320" w:hanging="360"/>
      </w:pPr>
      <w:rPr>
        <w:rFonts w:ascii="Wingdings" w:hAnsi="Wingdings" w:hint="default"/>
      </w:rPr>
    </w:lvl>
    <w:lvl w:ilvl="6" w:tplc="AAE00022" w:tentative="1">
      <w:start w:val="1"/>
      <w:numFmt w:val="bullet"/>
      <w:lvlText w:val=""/>
      <w:lvlJc w:val="left"/>
      <w:pPr>
        <w:ind w:left="5040" w:hanging="360"/>
      </w:pPr>
      <w:rPr>
        <w:rFonts w:ascii="Symbol" w:hAnsi="Symbol" w:hint="default"/>
      </w:rPr>
    </w:lvl>
    <w:lvl w:ilvl="7" w:tplc="99DE6F9A" w:tentative="1">
      <w:start w:val="1"/>
      <w:numFmt w:val="bullet"/>
      <w:lvlText w:val="o"/>
      <w:lvlJc w:val="left"/>
      <w:pPr>
        <w:ind w:left="5760" w:hanging="360"/>
      </w:pPr>
      <w:rPr>
        <w:rFonts w:ascii="Courier New" w:hAnsi="Courier New" w:cs="Courier New" w:hint="default"/>
      </w:rPr>
    </w:lvl>
    <w:lvl w:ilvl="8" w:tplc="DA5228E4" w:tentative="1">
      <w:start w:val="1"/>
      <w:numFmt w:val="bullet"/>
      <w:lvlText w:val=""/>
      <w:lvlJc w:val="left"/>
      <w:pPr>
        <w:ind w:left="6480" w:hanging="360"/>
      </w:pPr>
      <w:rPr>
        <w:rFonts w:ascii="Wingdings" w:hAnsi="Wingdings" w:hint="default"/>
      </w:rPr>
    </w:lvl>
  </w:abstractNum>
  <w:abstractNum w:abstractNumId="4" w15:restartNumberingAfterBreak="0">
    <w:nsid w:val="2EA10D89"/>
    <w:multiLevelType w:val="hybridMultilevel"/>
    <w:tmpl w:val="D04A315C"/>
    <w:lvl w:ilvl="0" w:tplc="449ED7D0">
      <w:start w:val="1"/>
      <w:numFmt w:val="bullet"/>
      <w:lvlText w:val=""/>
      <w:lvlJc w:val="left"/>
      <w:pPr>
        <w:ind w:left="294" w:hanging="360"/>
      </w:pPr>
      <w:rPr>
        <w:rFonts w:ascii="Symbol" w:hAnsi="Symbol" w:hint="default"/>
      </w:rPr>
    </w:lvl>
    <w:lvl w:ilvl="1" w:tplc="D6EA485C" w:tentative="1">
      <w:start w:val="1"/>
      <w:numFmt w:val="bullet"/>
      <w:lvlText w:val="o"/>
      <w:lvlJc w:val="left"/>
      <w:pPr>
        <w:ind w:left="1014" w:hanging="360"/>
      </w:pPr>
      <w:rPr>
        <w:rFonts w:ascii="Courier New" w:hAnsi="Courier New" w:cs="Courier New" w:hint="default"/>
      </w:rPr>
    </w:lvl>
    <w:lvl w:ilvl="2" w:tplc="718ECA5C" w:tentative="1">
      <w:start w:val="1"/>
      <w:numFmt w:val="bullet"/>
      <w:lvlText w:val=""/>
      <w:lvlJc w:val="left"/>
      <w:pPr>
        <w:ind w:left="1734" w:hanging="360"/>
      </w:pPr>
      <w:rPr>
        <w:rFonts w:ascii="Wingdings" w:hAnsi="Wingdings" w:hint="default"/>
      </w:rPr>
    </w:lvl>
    <w:lvl w:ilvl="3" w:tplc="CCD49A76" w:tentative="1">
      <w:start w:val="1"/>
      <w:numFmt w:val="bullet"/>
      <w:lvlText w:val=""/>
      <w:lvlJc w:val="left"/>
      <w:pPr>
        <w:ind w:left="2454" w:hanging="360"/>
      </w:pPr>
      <w:rPr>
        <w:rFonts w:ascii="Symbol" w:hAnsi="Symbol" w:hint="default"/>
      </w:rPr>
    </w:lvl>
    <w:lvl w:ilvl="4" w:tplc="05F6F772" w:tentative="1">
      <w:start w:val="1"/>
      <w:numFmt w:val="bullet"/>
      <w:lvlText w:val="o"/>
      <w:lvlJc w:val="left"/>
      <w:pPr>
        <w:ind w:left="3174" w:hanging="360"/>
      </w:pPr>
      <w:rPr>
        <w:rFonts w:ascii="Courier New" w:hAnsi="Courier New" w:cs="Courier New" w:hint="default"/>
      </w:rPr>
    </w:lvl>
    <w:lvl w:ilvl="5" w:tplc="7F44EFBE" w:tentative="1">
      <w:start w:val="1"/>
      <w:numFmt w:val="bullet"/>
      <w:lvlText w:val=""/>
      <w:lvlJc w:val="left"/>
      <w:pPr>
        <w:ind w:left="3894" w:hanging="360"/>
      </w:pPr>
      <w:rPr>
        <w:rFonts w:ascii="Wingdings" w:hAnsi="Wingdings" w:hint="default"/>
      </w:rPr>
    </w:lvl>
    <w:lvl w:ilvl="6" w:tplc="EF820040" w:tentative="1">
      <w:start w:val="1"/>
      <w:numFmt w:val="bullet"/>
      <w:lvlText w:val=""/>
      <w:lvlJc w:val="left"/>
      <w:pPr>
        <w:ind w:left="4614" w:hanging="360"/>
      </w:pPr>
      <w:rPr>
        <w:rFonts w:ascii="Symbol" w:hAnsi="Symbol" w:hint="default"/>
      </w:rPr>
    </w:lvl>
    <w:lvl w:ilvl="7" w:tplc="D0644D0E" w:tentative="1">
      <w:start w:val="1"/>
      <w:numFmt w:val="bullet"/>
      <w:lvlText w:val="o"/>
      <w:lvlJc w:val="left"/>
      <w:pPr>
        <w:ind w:left="5334" w:hanging="360"/>
      </w:pPr>
      <w:rPr>
        <w:rFonts w:ascii="Courier New" w:hAnsi="Courier New" w:cs="Courier New" w:hint="default"/>
      </w:rPr>
    </w:lvl>
    <w:lvl w:ilvl="8" w:tplc="74DA3D2C" w:tentative="1">
      <w:start w:val="1"/>
      <w:numFmt w:val="bullet"/>
      <w:lvlText w:val=""/>
      <w:lvlJc w:val="left"/>
      <w:pPr>
        <w:ind w:left="6054" w:hanging="360"/>
      </w:pPr>
      <w:rPr>
        <w:rFonts w:ascii="Wingdings" w:hAnsi="Wingdings" w:hint="default"/>
      </w:rPr>
    </w:lvl>
  </w:abstractNum>
  <w:abstractNum w:abstractNumId="5" w15:restartNumberingAfterBreak="0">
    <w:nsid w:val="60711249"/>
    <w:multiLevelType w:val="multilevel"/>
    <w:tmpl w:val="6978B844"/>
    <w:lvl w:ilvl="0">
      <w:start w:val="1"/>
      <w:numFmt w:val="decimal"/>
      <w:lvlText w:val="%1.0"/>
      <w:lvlJc w:val="left"/>
      <w:pPr>
        <w:ind w:left="502" w:hanging="360"/>
      </w:pPr>
      <w:rPr>
        <w:rFonts w:hint="default"/>
      </w:rPr>
    </w:lvl>
    <w:lvl w:ilvl="1">
      <w:start w:val="1"/>
      <w:numFmt w:val="decimal"/>
      <w:lvlText w:val="%1.%2"/>
      <w:lvlJc w:val="left"/>
      <w:pPr>
        <w:ind w:left="1222" w:hanging="360"/>
      </w:pPr>
      <w:rPr>
        <w:rFonts w:hint="default"/>
      </w:rPr>
    </w:lvl>
    <w:lvl w:ilvl="2">
      <w:start w:val="1"/>
      <w:numFmt w:val="decimal"/>
      <w:lvlText w:val="%1.%2.%3"/>
      <w:lvlJc w:val="left"/>
      <w:pPr>
        <w:ind w:left="2302" w:hanging="720"/>
      </w:pPr>
      <w:rPr>
        <w:rFonts w:hint="default"/>
      </w:rPr>
    </w:lvl>
    <w:lvl w:ilvl="3">
      <w:start w:val="1"/>
      <w:numFmt w:val="decimal"/>
      <w:lvlText w:val="%1.%2.%3.%4"/>
      <w:lvlJc w:val="left"/>
      <w:pPr>
        <w:ind w:left="3382" w:hanging="108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5182" w:hanging="144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982" w:hanging="1800"/>
      </w:pPr>
      <w:rPr>
        <w:rFonts w:hint="default"/>
      </w:rPr>
    </w:lvl>
    <w:lvl w:ilvl="8">
      <w:start w:val="1"/>
      <w:numFmt w:val="decimal"/>
      <w:lvlText w:val="%1.%2.%3.%4.%5.%6.%7.%8.%9"/>
      <w:lvlJc w:val="left"/>
      <w:pPr>
        <w:ind w:left="7702" w:hanging="1800"/>
      </w:pPr>
      <w:rPr>
        <w:rFonts w:hint="default"/>
      </w:rPr>
    </w:lvl>
  </w:abstractNum>
  <w:abstractNum w:abstractNumId="6" w15:restartNumberingAfterBreak="0">
    <w:nsid w:val="6A22616C"/>
    <w:multiLevelType w:val="hybridMultilevel"/>
    <w:tmpl w:val="BC5EDF7A"/>
    <w:lvl w:ilvl="0" w:tplc="F036E300">
      <w:start w:val="1"/>
      <w:numFmt w:val="bullet"/>
      <w:lvlText w:val=""/>
      <w:lvlJc w:val="left"/>
      <w:pPr>
        <w:ind w:left="360" w:hanging="360"/>
      </w:pPr>
      <w:rPr>
        <w:rFonts w:ascii="Symbol" w:hAnsi="Symbol" w:hint="default"/>
      </w:rPr>
    </w:lvl>
    <w:lvl w:ilvl="1" w:tplc="1A64C8FE">
      <w:start w:val="1"/>
      <w:numFmt w:val="bullet"/>
      <w:lvlText w:val="o"/>
      <w:lvlJc w:val="left"/>
      <w:pPr>
        <w:ind w:left="1080" w:hanging="360"/>
      </w:pPr>
      <w:rPr>
        <w:rFonts w:ascii="Courier New" w:hAnsi="Courier New" w:cs="Courier New" w:hint="default"/>
      </w:rPr>
    </w:lvl>
    <w:lvl w:ilvl="2" w:tplc="2EFAAFC0">
      <w:start w:val="1"/>
      <w:numFmt w:val="bullet"/>
      <w:lvlText w:val=""/>
      <w:lvlJc w:val="left"/>
      <w:pPr>
        <w:ind w:left="1800" w:hanging="360"/>
      </w:pPr>
      <w:rPr>
        <w:rFonts w:ascii="Wingdings" w:hAnsi="Wingdings" w:hint="default"/>
      </w:rPr>
    </w:lvl>
    <w:lvl w:ilvl="3" w:tplc="C8B67A64">
      <w:start w:val="1"/>
      <w:numFmt w:val="bullet"/>
      <w:lvlText w:val=""/>
      <w:lvlJc w:val="left"/>
      <w:pPr>
        <w:ind w:left="2520" w:hanging="360"/>
      </w:pPr>
      <w:rPr>
        <w:rFonts w:ascii="Symbol" w:hAnsi="Symbol" w:hint="default"/>
      </w:rPr>
    </w:lvl>
    <w:lvl w:ilvl="4" w:tplc="C3F2C0AE">
      <w:start w:val="1"/>
      <w:numFmt w:val="bullet"/>
      <w:lvlText w:val="o"/>
      <w:lvlJc w:val="left"/>
      <w:pPr>
        <w:ind w:left="3240" w:hanging="360"/>
      </w:pPr>
      <w:rPr>
        <w:rFonts w:ascii="Courier New" w:hAnsi="Courier New" w:cs="Courier New" w:hint="default"/>
      </w:rPr>
    </w:lvl>
    <w:lvl w:ilvl="5" w:tplc="737AAAF4">
      <w:start w:val="1"/>
      <w:numFmt w:val="bullet"/>
      <w:lvlText w:val=""/>
      <w:lvlJc w:val="left"/>
      <w:pPr>
        <w:ind w:left="3960" w:hanging="360"/>
      </w:pPr>
      <w:rPr>
        <w:rFonts w:ascii="Wingdings" w:hAnsi="Wingdings" w:hint="default"/>
      </w:rPr>
    </w:lvl>
    <w:lvl w:ilvl="6" w:tplc="E13AF792">
      <w:start w:val="1"/>
      <w:numFmt w:val="bullet"/>
      <w:lvlText w:val=""/>
      <w:lvlJc w:val="left"/>
      <w:pPr>
        <w:ind w:left="4680" w:hanging="360"/>
      </w:pPr>
      <w:rPr>
        <w:rFonts w:ascii="Symbol" w:hAnsi="Symbol" w:hint="default"/>
      </w:rPr>
    </w:lvl>
    <w:lvl w:ilvl="7" w:tplc="312CD2BA">
      <w:start w:val="1"/>
      <w:numFmt w:val="bullet"/>
      <w:lvlText w:val="o"/>
      <w:lvlJc w:val="left"/>
      <w:pPr>
        <w:ind w:left="5400" w:hanging="360"/>
      </w:pPr>
      <w:rPr>
        <w:rFonts w:ascii="Courier New" w:hAnsi="Courier New" w:cs="Courier New" w:hint="default"/>
      </w:rPr>
    </w:lvl>
    <w:lvl w:ilvl="8" w:tplc="B464033E">
      <w:start w:val="1"/>
      <w:numFmt w:val="bullet"/>
      <w:lvlText w:val=""/>
      <w:lvlJc w:val="left"/>
      <w:pPr>
        <w:ind w:left="6120" w:hanging="360"/>
      </w:pPr>
      <w:rPr>
        <w:rFonts w:ascii="Wingdings" w:hAnsi="Wingdings" w:hint="default"/>
      </w:rPr>
    </w:lvl>
  </w:abstractNum>
  <w:abstractNum w:abstractNumId="7" w15:restartNumberingAfterBreak="0">
    <w:nsid w:val="748E2F9B"/>
    <w:multiLevelType w:val="hybridMultilevel"/>
    <w:tmpl w:val="35DED682"/>
    <w:lvl w:ilvl="0" w:tplc="8A64C46A">
      <w:start w:val="1"/>
      <w:numFmt w:val="bullet"/>
      <w:lvlText w:val=""/>
      <w:lvlJc w:val="left"/>
      <w:pPr>
        <w:ind w:left="720" w:hanging="360"/>
      </w:pPr>
      <w:rPr>
        <w:rFonts w:ascii="Symbol" w:hAnsi="Symbol" w:hint="default"/>
      </w:rPr>
    </w:lvl>
    <w:lvl w:ilvl="1" w:tplc="A58437A0" w:tentative="1">
      <w:start w:val="1"/>
      <w:numFmt w:val="bullet"/>
      <w:lvlText w:val="o"/>
      <w:lvlJc w:val="left"/>
      <w:pPr>
        <w:ind w:left="1440" w:hanging="360"/>
      </w:pPr>
      <w:rPr>
        <w:rFonts w:ascii="Courier New" w:hAnsi="Courier New" w:cs="Courier New" w:hint="default"/>
      </w:rPr>
    </w:lvl>
    <w:lvl w:ilvl="2" w:tplc="53C876BE" w:tentative="1">
      <w:start w:val="1"/>
      <w:numFmt w:val="bullet"/>
      <w:lvlText w:val=""/>
      <w:lvlJc w:val="left"/>
      <w:pPr>
        <w:ind w:left="2160" w:hanging="360"/>
      </w:pPr>
      <w:rPr>
        <w:rFonts w:ascii="Wingdings" w:hAnsi="Wingdings" w:hint="default"/>
      </w:rPr>
    </w:lvl>
    <w:lvl w:ilvl="3" w:tplc="F500A07E" w:tentative="1">
      <w:start w:val="1"/>
      <w:numFmt w:val="bullet"/>
      <w:lvlText w:val=""/>
      <w:lvlJc w:val="left"/>
      <w:pPr>
        <w:ind w:left="2880" w:hanging="360"/>
      </w:pPr>
      <w:rPr>
        <w:rFonts w:ascii="Symbol" w:hAnsi="Symbol" w:hint="default"/>
      </w:rPr>
    </w:lvl>
    <w:lvl w:ilvl="4" w:tplc="9A52A940" w:tentative="1">
      <w:start w:val="1"/>
      <w:numFmt w:val="bullet"/>
      <w:lvlText w:val="o"/>
      <w:lvlJc w:val="left"/>
      <w:pPr>
        <w:ind w:left="3600" w:hanging="360"/>
      </w:pPr>
      <w:rPr>
        <w:rFonts w:ascii="Courier New" w:hAnsi="Courier New" w:cs="Courier New" w:hint="default"/>
      </w:rPr>
    </w:lvl>
    <w:lvl w:ilvl="5" w:tplc="AD205368" w:tentative="1">
      <w:start w:val="1"/>
      <w:numFmt w:val="bullet"/>
      <w:lvlText w:val=""/>
      <w:lvlJc w:val="left"/>
      <w:pPr>
        <w:ind w:left="4320" w:hanging="360"/>
      </w:pPr>
      <w:rPr>
        <w:rFonts w:ascii="Wingdings" w:hAnsi="Wingdings" w:hint="default"/>
      </w:rPr>
    </w:lvl>
    <w:lvl w:ilvl="6" w:tplc="49B2BB04" w:tentative="1">
      <w:start w:val="1"/>
      <w:numFmt w:val="bullet"/>
      <w:lvlText w:val=""/>
      <w:lvlJc w:val="left"/>
      <w:pPr>
        <w:ind w:left="5040" w:hanging="360"/>
      </w:pPr>
      <w:rPr>
        <w:rFonts w:ascii="Symbol" w:hAnsi="Symbol" w:hint="default"/>
      </w:rPr>
    </w:lvl>
    <w:lvl w:ilvl="7" w:tplc="301AB02C" w:tentative="1">
      <w:start w:val="1"/>
      <w:numFmt w:val="bullet"/>
      <w:lvlText w:val="o"/>
      <w:lvlJc w:val="left"/>
      <w:pPr>
        <w:ind w:left="5760" w:hanging="360"/>
      </w:pPr>
      <w:rPr>
        <w:rFonts w:ascii="Courier New" w:hAnsi="Courier New" w:cs="Courier New" w:hint="default"/>
      </w:rPr>
    </w:lvl>
    <w:lvl w:ilvl="8" w:tplc="04E41C32" w:tentative="1">
      <w:start w:val="1"/>
      <w:numFmt w:val="bullet"/>
      <w:lvlText w:val=""/>
      <w:lvlJc w:val="left"/>
      <w:pPr>
        <w:ind w:left="6480" w:hanging="360"/>
      </w:pPr>
      <w:rPr>
        <w:rFonts w:ascii="Wingdings" w:hAnsi="Wingdings" w:hint="default"/>
      </w:rPr>
    </w:lvl>
  </w:abstractNum>
  <w:abstractNum w:abstractNumId="8" w15:restartNumberingAfterBreak="0">
    <w:nsid w:val="74B760CA"/>
    <w:multiLevelType w:val="hybridMultilevel"/>
    <w:tmpl w:val="F53E06CC"/>
    <w:lvl w:ilvl="0" w:tplc="02EA314E">
      <w:start w:val="2"/>
      <w:numFmt w:val="bullet"/>
      <w:lvlText w:val="-"/>
      <w:lvlJc w:val="left"/>
      <w:pPr>
        <w:ind w:left="720" w:hanging="360"/>
      </w:pPr>
      <w:rPr>
        <w:rFonts w:ascii="Calibri" w:eastAsiaTheme="minorHAnsi" w:hAnsi="Calibri" w:cstheme="minorBidi" w:hint="default"/>
      </w:rPr>
    </w:lvl>
    <w:lvl w:ilvl="1" w:tplc="EF24E946" w:tentative="1">
      <w:start w:val="1"/>
      <w:numFmt w:val="bullet"/>
      <w:lvlText w:val="o"/>
      <w:lvlJc w:val="left"/>
      <w:pPr>
        <w:ind w:left="1440" w:hanging="360"/>
      </w:pPr>
      <w:rPr>
        <w:rFonts w:ascii="Courier New" w:hAnsi="Courier New" w:cs="Courier New" w:hint="default"/>
      </w:rPr>
    </w:lvl>
    <w:lvl w:ilvl="2" w:tplc="C8562B18" w:tentative="1">
      <w:start w:val="1"/>
      <w:numFmt w:val="bullet"/>
      <w:lvlText w:val=""/>
      <w:lvlJc w:val="left"/>
      <w:pPr>
        <w:ind w:left="2160" w:hanging="360"/>
      </w:pPr>
      <w:rPr>
        <w:rFonts w:ascii="Wingdings" w:hAnsi="Wingdings" w:hint="default"/>
      </w:rPr>
    </w:lvl>
    <w:lvl w:ilvl="3" w:tplc="822A2196" w:tentative="1">
      <w:start w:val="1"/>
      <w:numFmt w:val="bullet"/>
      <w:lvlText w:val=""/>
      <w:lvlJc w:val="left"/>
      <w:pPr>
        <w:ind w:left="2880" w:hanging="360"/>
      </w:pPr>
      <w:rPr>
        <w:rFonts w:ascii="Symbol" w:hAnsi="Symbol" w:hint="default"/>
      </w:rPr>
    </w:lvl>
    <w:lvl w:ilvl="4" w:tplc="E302810A" w:tentative="1">
      <w:start w:val="1"/>
      <w:numFmt w:val="bullet"/>
      <w:lvlText w:val="o"/>
      <w:lvlJc w:val="left"/>
      <w:pPr>
        <w:ind w:left="3600" w:hanging="360"/>
      </w:pPr>
      <w:rPr>
        <w:rFonts w:ascii="Courier New" w:hAnsi="Courier New" w:cs="Courier New" w:hint="default"/>
      </w:rPr>
    </w:lvl>
    <w:lvl w:ilvl="5" w:tplc="BE2A00F8" w:tentative="1">
      <w:start w:val="1"/>
      <w:numFmt w:val="bullet"/>
      <w:lvlText w:val=""/>
      <w:lvlJc w:val="left"/>
      <w:pPr>
        <w:ind w:left="4320" w:hanging="360"/>
      </w:pPr>
      <w:rPr>
        <w:rFonts w:ascii="Wingdings" w:hAnsi="Wingdings" w:hint="default"/>
      </w:rPr>
    </w:lvl>
    <w:lvl w:ilvl="6" w:tplc="78AE353C" w:tentative="1">
      <w:start w:val="1"/>
      <w:numFmt w:val="bullet"/>
      <w:lvlText w:val=""/>
      <w:lvlJc w:val="left"/>
      <w:pPr>
        <w:ind w:left="5040" w:hanging="360"/>
      </w:pPr>
      <w:rPr>
        <w:rFonts w:ascii="Symbol" w:hAnsi="Symbol" w:hint="default"/>
      </w:rPr>
    </w:lvl>
    <w:lvl w:ilvl="7" w:tplc="97DAFDDA" w:tentative="1">
      <w:start w:val="1"/>
      <w:numFmt w:val="bullet"/>
      <w:lvlText w:val="o"/>
      <w:lvlJc w:val="left"/>
      <w:pPr>
        <w:ind w:left="5760" w:hanging="360"/>
      </w:pPr>
      <w:rPr>
        <w:rFonts w:ascii="Courier New" w:hAnsi="Courier New" w:cs="Courier New" w:hint="default"/>
      </w:rPr>
    </w:lvl>
    <w:lvl w:ilvl="8" w:tplc="49A6CEE6"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0"/>
  </w:num>
  <w:num w:numId="5">
    <w:abstractNumId w:val="8"/>
  </w:num>
  <w:num w:numId="6">
    <w:abstractNumId w:val="5"/>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FE1"/>
    <w:rsid w:val="0047390F"/>
    <w:rsid w:val="004E7DEB"/>
    <w:rsid w:val="00786A76"/>
    <w:rsid w:val="00C07FE1"/>
    <w:rsid w:val="00EE7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F754C6-2F4A-4D05-9014-C3535ACAF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D3134F"/>
    <w:pPr>
      <w:keepNext/>
      <w:keepLines/>
      <w:spacing w:before="40" w:after="0" w:line="249" w:lineRule="auto"/>
      <w:ind w:left="542" w:hanging="542"/>
      <w:outlineLvl w:val="4"/>
    </w:pPr>
    <w:rPr>
      <w:rFonts w:asciiTheme="majorHAnsi" w:eastAsiaTheme="majorEastAsia" w:hAnsiTheme="majorHAnsi" w:cstheme="majorBidi"/>
      <w:color w:val="365F91" w:themeColor="accent1" w:themeShade="BF"/>
      <w:sz w:val="24"/>
      <w:szCs w:val="24"/>
      <w:lang w:eastAsia="en-GB"/>
    </w:rPr>
  </w:style>
  <w:style w:type="paragraph" w:styleId="Heading6">
    <w:name w:val="heading 6"/>
    <w:basedOn w:val="Normal"/>
    <w:next w:val="Normal"/>
    <w:link w:val="Heading6Char"/>
    <w:uiPriority w:val="9"/>
    <w:semiHidden/>
    <w:unhideWhenUsed/>
    <w:qFormat/>
    <w:rsid w:val="00D3134F"/>
    <w:pPr>
      <w:keepNext/>
      <w:keepLines/>
      <w:spacing w:before="40" w:after="0" w:line="249" w:lineRule="auto"/>
      <w:ind w:left="542" w:hanging="542"/>
      <w:outlineLvl w:val="5"/>
    </w:pPr>
    <w:rPr>
      <w:rFonts w:asciiTheme="majorHAnsi" w:eastAsiaTheme="majorEastAsia" w:hAnsiTheme="majorHAnsi" w:cstheme="majorBidi"/>
      <w:color w:val="243F60" w:themeColor="accent1" w:themeShade="7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0F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F6A"/>
  </w:style>
  <w:style w:type="paragraph" w:styleId="Footer">
    <w:name w:val="footer"/>
    <w:basedOn w:val="Normal"/>
    <w:link w:val="FooterChar"/>
    <w:uiPriority w:val="99"/>
    <w:unhideWhenUsed/>
    <w:rsid w:val="00440F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F6A"/>
  </w:style>
  <w:style w:type="paragraph" w:styleId="ListParagraph">
    <w:name w:val="List Paragraph"/>
    <w:basedOn w:val="Normal"/>
    <w:uiPriority w:val="34"/>
    <w:qFormat/>
    <w:rsid w:val="00F41D53"/>
    <w:pPr>
      <w:ind w:left="720"/>
      <w:contextualSpacing/>
    </w:pPr>
  </w:style>
  <w:style w:type="paragraph" w:styleId="NoSpacing">
    <w:name w:val="No Spacing"/>
    <w:uiPriority w:val="1"/>
    <w:qFormat/>
    <w:rsid w:val="00ED346B"/>
    <w:pPr>
      <w:spacing w:after="0" w:line="240" w:lineRule="auto"/>
    </w:pPr>
    <w:rPr>
      <w:rFonts w:ascii="Arial" w:hAnsi="Arial"/>
      <w:sz w:val="24"/>
    </w:rPr>
  </w:style>
  <w:style w:type="character" w:customStyle="1" w:styleId="Heading5Char">
    <w:name w:val="Heading 5 Char"/>
    <w:basedOn w:val="DefaultParagraphFont"/>
    <w:link w:val="Heading5"/>
    <w:uiPriority w:val="9"/>
    <w:semiHidden/>
    <w:rsid w:val="00D3134F"/>
    <w:rPr>
      <w:rFonts w:asciiTheme="majorHAnsi" w:eastAsiaTheme="majorEastAsia" w:hAnsiTheme="majorHAnsi" w:cstheme="majorBidi"/>
      <w:color w:val="365F91" w:themeColor="accent1" w:themeShade="BF"/>
      <w:sz w:val="24"/>
      <w:szCs w:val="24"/>
      <w:lang w:eastAsia="en-GB"/>
    </w:rPr>
  </w:style>
  <w:style w:type="character" w:customStyle="1" w:styleId="Heading6Char">
    <w:name w:val="Heading 6 Char"/>
    <w:basedOn w:val="DefaultParagraphFont"/>
    <w:link w:val="Heading6"/>
    <w:uiPriority w:val="9"/>
    <w:semiHidden/>
    <w:rsid w:val="00D3134F"/>
    <w:rPr>
      <w:rFonts w:asciiTheme="majorHAnsi" w:eastAsiaTheme="majorEastAsia" w:hAnsiTheme="majorHAnsi" w:cstheme="majorBidi"/>
      <w:color w:val="243F60" w:themeColor="accent1" w:themeShade="7F"/>
      <w:sz w:val="24"/>
      <w:szCs w:val="24"/>
      <w:lang w:eastAsia="en-GB"/>
    </w:rPr>
  </w:style>
  <w:style w:type="table" w:styleId="TableGrid">
    <w:name w:val="Table Grid"/>
    <w:basedOn w:val="TableNormal"/>
    <w:uiPriority w:val="39"/>
    <w:rsid w:val="00681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81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2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1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34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70A33-7463-45CF-B3FC-05119FC1B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13</Pages>
  <Words>3746</Words>
  <Characters>21356</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25052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Sage</dc:creator>
  <cp:lastModifiedBy>Milroy, Andy</cp:lastModifiedBy>
  <cp:revision>15</cp:revision>
  <cp:lastPrinted>2015-01-28T14:27:00Z</cp:lastPrinted>
  <dcterms:created xsi:type="dcterms:W3CDTF">2015-03-30T10:11:00Z</dcterms:created>
  <dcterms:modified xsi:type="dcterms:W3CDTF">2019-01-28T11:09:00Z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CAGPMS">
    <vt:lpwstr>OFFICIAL</vt:lpwstr>
  </property>
  <property fmtid="{D5CDD505-2E9C-101B-9397-08002B2CF9AE}" pid="3" name="IssueTitle">
    <vt:lpwstr>City Deal 6 Month Performance Monitring Report - Year 5 2018/19 (April - September 2018)</vt:lpwstr>
  </property>
  <property fmtid="{D5CDD505-2E9C-101B-9397-08002B2CF9AE}" pid="4" name="LeadOfficer">
    <vt:lpwstr>Joanne Hudson</vt:lpwstr>
  </property>
  <property fmtid="{D5CDD505-2E9C-101B-9397-08002B2CF9AE}" pid="5" name="LeadOfficerEmail">
    <vt:lpwstr>joanne.hudson@lancashire.gov.uk</vt:lpwstr>
  </property>
  <property fmtid="{D5CDD505-2E9C-101B-9397-08002B2CF9AE}" pid="6" name="LeadOfficerTel">
    <vt:lpwstr>Tel: 07772 112959</vt:lpwstr>
  </property>
  <property fmtid="{D5CDD505-2E9C-101B-9397-08002B2CF9AE}" pid="7" name="MeetingDate">
    <vt:lpwstr>Tuesday, 18 December 2018</vt:lpwstr>
  </property>
  <property fmtid="{D5CDD505-2E9C-101B-9397-08002B2CF9AE}" pid="8" name="TitusGUID">
    <vt:lpwstr>b16076df-281e-485b-ac3b-6fbc29115d7d</vt:lpwstr>
  </property>
</Properties>
</file>